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8602" w14:textId="76C0307F" w:rsidR="0011527F" w:rsidRPr="0093615D" w:rsidRDefault="0011527F" w:rsidP="0011527F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93615D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Release do </w:t>
      </w:r>
      <w:r w:rsidRPr="0093615D">
        <w:rPr>
          <w:rFonts w:ascii="Times New Roman" w:hAnsi="Times New Roman" w:cs="Times New Roman"/>
          <w:b/>
          <w:bCs/>
          <w:color w:val="002060"/>
          <w:sz w:val="40"/>
          <w:szCs w:val="40"/>
        </w:rPr>
        <w:t>Projeto de Lei Complementar 79, de 2022</w:t>
      </w:r>
    </w:p>
    <w:p w14:paraId="5FD0CF81" w14:textId="77777777" w:rsidR="0093615D" w:rsidRDefault="0093615D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8ECD38" w14:textId="46485424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t>dia 31/5/2022</w:t>
      </w:r>
      <w:r>
        <w:rPr>
          <w:rFonts w:ascii="Times New Roman" w:hAnsi="Times New Roman" w:cs="Times New Roman"/>
          <w:sz w:val="28"/>
          <w:szCs w:val="28"/>
        </w:rPr>
        <w:t xml:space="preserve">, o Deputado Fábio Trad apresentou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rojeto de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ei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omplementar 79, de 2022, para estabelecer </w:t>
      </w:r>
      <w:r w:rsidRPr="003E3F81">
        <w:rPr>
          <w:rFonts w:ascii="Times New Roman" w:hAnsi="Times New Roman" w:cs="Times New Roman"/>
          <w:sz w:val="28"/>
          <w:szCs w:val="28"/>
        </w:rPr>
        <w:t>normas gerais de fiscalização financeira da administração pública direta e indireta da União, dos Estados, do Distrito Federal e dos Municípios</w:t>
      </w:r>
      <w:r>
        <w:rPr>
          <w:rFonts w:ascii="Times New Roman" w:hAnsi="Times New Roman" w:cs="Times New Roman"/>
          <w:sz w:val="28"/>
          <w:szCs w:val="28"/>
        </w:rPr>
        <w:t xml:space="preserve">. A fiscalização financeira objeto da regulamentação  abrange </w:t>
      </w:r>
      <w:r w:rsidRPr="003E3F81">
        <w:rPr>
          <w:rFonts w:ascii="Times New Roman" w:hAnsi="Times New Roman" w:cs="Times New Roman"/>
          <w:sz w:val="28"/>
          <w:szCs w:val="28"/>
        </w:rPr>
        <w:t>o autocontrole, o controle interno, o controle externo</w:t>
      </w:r>
      <w:r>
        <w:rPr>
          <w:rFonts w:ascii="Times New Roman" w:hAnsi="Times New Roman" w:cs="Times New Roman"/>
          <w:sz w:val="28"/>
          <w:szCs w:val="28"/>
        </w:rPr>
        <w:t>, o sistema nacional de auditoria do SUS e o controle social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3DD06" w14:textId="68B56D50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proposta também</w:t>
      </w:r>
      <w:r w:rsidRPr="003E3F81">
        <w:rPr>
          <w:rFonts w:ascii="Times New Roman" w:hAnsi="Times New Roman" w:cs="Times New Roman"/>
          <w:sz w:val="28"/>
          <w:szCs w:val="28"/>
        </w:rPr>
        <w:t xml:space="preserve"> dispõe sobre a</w:t>
      </w:r>
      <w:r>
        <w:rPr>
          <w:rFonts w:ascii="Times New Roman" w:hAnsi="Times New Roman" w:cs="Times New Roman"/>
          <w:sz w:val="28"/>
          <w:szCs w:val="28"/>
        </w:rPr>
        <w:t xml:space="preserve"> regulamentação da</w:t>
      </w:r>
      <w:r w:rsidRPr="003E3F81">
        <w:rPr>
          <w:rFonts w:ascii="Times New Roman" w:hAnsi="Times New Roman" w:cs="Times New Roman"/>
          <w:sz w:val="28"/>
          <w:szCs w:val="28"/>
        </w:rPr>
        <w:t xml:space="preserve"> simetria referente à organização, à composição e à fiscalização dos Tribunais de Contas dos Estados e do Distrito Federal, bem como dos Tribunais Contas dos Municípios, estes últimos onde houver, com amparo nos </w:t>
      </w:r>
      <w:r>
        <w:rPr>
          <w:rFonts w:ascii="Times New Roman" w:hAnsi="Times New Roman" w:cs="Times New Roman"/>
          <w:sz w:val="28"/>
          <w:szCs w:val="28"/>
        </w:rPr>
        <w:t>artigos</w:t>
      </w:r>
      <w:r w:rsidRPr="003E3F81">
        <w:rPr>
          <w:rFonts w:ascii="Times New Roman" w:hAnsi="Times New Roman" w:cs="Times New Roman"/>
          <w:sz w:val="28"/>
          <w:szCs w:val="28"/>
        </w:rPr>
        <w:t xml:space="preserve"> 75 e 163, inciso V, da Constituição Federal.  </w:t>
      </w:r>
    </w:p>
    <w:p w14:paraId="132F9405" w14:textId="77777777" w:rsidR="0093615D" w:rsidRDefault="0093615D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22F670" w14:textId="77777777" w:rsidR="0011527F" w:rsidRPr="0011527F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1527F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do Autocontrole</w:t>
      </w:r>
    </w:p>
    <w:p w14:paraId="1754F690" w14:textId="1AEF0829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Capítulo do autocontrole, a proposta reúne e padroniza as funcionalidades dos diversos sistemas centralizados desenvolvidos mantidos pela União para o monitoramento e a avaliação da eficiência alocativa das diversas políticas públicas nacionais</w:t>
      </w:r>
      <w:r>
        <w:rPr>
          <w:rFonts w:ascii="Times New Roman" w:hAnsi="Times New Roman" w:cs="Times New Roman"/>
          <w:sz w:val="28"/>
          <w:szCs w:val="28"/>
        </w:rPr>
        <w:t xml:space="preserve">, exigência reforçada pela Emenda Constitucional nº 109, de 2021, que incluiu o § 16 nos </w:t>
      </w:r>
      <w:proofErr w:type="spellStart"/>
      <w:r>
        <w:rPr>
          <w:rFonts w:ascii="Times New Roman" w:hAnsi="Times New Roman" w:cs="Times New Roman"/>
          <w:sz w:val="28"/>
          <w:szCs w:val="28"/>
        </w:rPr>
        <w:t>arts</w:t>
      </w:r>
      <w:proofErr w:type="spellEnd"/>
      <w:r>
        <w:rPr>
          <w:rFonts w:ascii="Times New Roman" w:hAnsi="Times New Roman" w:cs="Times New Roman"/>
          <w:sz w:val="28"/>
          <w:szCs w:val="28"/>
        </w:rPr>
        <w:t>. 37 e 165 da Constituição da República.</w:t>
      </w:r>
    </w:p>
    <w:p w14:paraId="3183BDEB" w14:textId="6B7E02BB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Cria demonstrativos eletrônicos para o controle público e social dos cargos em comissão, contratação temporária, terceirizações e as despesas indenizatórias, tais co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o diárias e passagens, ajuda de custo, capacitação. Confere maior transparência sobre a distribuição e lotação dos cargos efetivos, de acordo com a natureza e complexidade</w:t>
      </w:r>
      <w:r>
        <w:rPr>
          <w:rFonts w:ascii="Times New Roman" w:hAnsi="Times New Roman" w:cs="Times New Roman"/>
          <w:sz w:val="28"/>
          <w:szCs w:val="28"/>
        </w:rPr>
        <w:t>, de forma a possibilitar a avaliação qualitativa da eficiência alocativa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99E6A" w14:textId="272834C4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proposta também avança com a previsão de módulo específico no sistema mantido pela União para controle sistematizado do teto remuneratório na Federação, da acumulação de cargos públicos nas diversas esferas de governo e das parcelas indenizatórias não computadas no teto remuneratório dos servidores públicos. As </w:t>
      </w:r>
      <w:r w:rsidRPr="00A304C8">
        <w:rPr>
          <w:rFonts w:ascii="Times New Roman" w:hAnsi="Times New Roman" w:cs="Times New Roman"/>
          <w:sz w:val="28"/>
          <w:szCs w:val="28"/>
        </w:rPr>
        <w:t>organizações da sociedade civi</w:t>
      </w:r>
      <w:r>
        <w:rPr>
          <w:rFonts w:ascii="Times New Roman" w:hAnsi="Times New Roman" w:cs="Times New Roman"/>
          <w:sz w:val="28"/>
          <w:szCs w:val="28"/>
        </w:rPr>
        <w:t>l que recebem recursos públicos também terão de declarar a aplicação dos recursos em sistema único mantido pela União, ao qual seja dado amplo acesso público.</w:t>
      </w:r>
      <w:r>
        <w:rPr>
          <w:rFonts w:ascii="Times New Roman" w:hAnsi="Times New Roman" w:cs="Times New Roman"/>
          <w:sz w:val="28"/>
          <w:szCs w:val="28"/>
        </w:rPr>
        <w:t xml:space="preserve"> A previsão mostra-se consentânea com a exigência da Emenda </w:t>
      </w:r>
      <w:r>
        <w:rPr>
          <w:rFonts w:ascii="Times New Roman" w:hAnsi="Times New Roman" w:cs="Times New Roman"/>
          <w:sz w:val="28"/>
          <w:szCs w:val="28"/>
        </w:rPr>
        <w:lastRenderedPageBreak/>
        <w:t>Constitucional nº 103, de 2019, notadamente a previsão do art. 12, que prevê a instituição de sistema integrado pela União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F0B45" w14:textId="26E2ACF2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racionalizar as operações, </w:t>
      </w:r>
      <w:r>
        <w:rPr>
          <w:rFonts w:ascii="Times New Roman" w:hAnsi="Times New Roman" w:cs="Times New Roman"/>
          <w:sz w:val="28"/>
          <w:szCs w:val="28"/>
        </w:rPr>
        <w:t xml:space="preserve">o projeto </w:t>
      </w:r>
      <w:r>
        <w:rPr>
          <w:rFonts w:ascii="Times New Roman" w:hAnsi="Times New Roman" w:cs="Times New Roman"/>
          <w:sz w:val="28"/>
          <w:szCs w:val="28"/>
        </w:rPr>
        <w:t xml:space="preserve">prevê a </w:t>
      </w:r>
      <w:r w:rsidRPr="0011527F">
        <w:rPr>
          <w:rFonts w:ascii="Times New Roman" w:hAnsi="Times New Roman" w:cs="Times New Roman"/>
          <w:b/>
          <w:bCs/>
          <w:sz w:val="28"/>
          <w:szCs w:val="28"/>
        </w:rPr>
        <w:t>interoperabilidade</w:t>
      </w:r>
      <w:r>
        <w:rPr>
          <w:rFonts w:ascii="Times New Roman" w:hAnsi="Times New Roman" w:cs="Times New Roman"/>
          <w:sz w:val="28"/>
          <w:szCs w:val="28"/>
        </w:rPr>
        <w:t xml:space="preserve"> entre os sistemas centralizados mantidos pela União com o sistema integrado único de administração financeira dos entes subnacionais (SIAFIC). A medida facilitará a declaração de dados pelos gestores estaduais e municipais, que poderão, automaticamente, exportar os dados dos seus sistemas e atualizar os sistemas nacionais, sem precisar de alocar um enorme contingente para essa função, com maior precisão e rapidez.</w:t>
      </w:r>
    </w:p>
    <w:p w14:paraId="6AC029D5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 portais mantidos pela União também passarão a contar com </w:t>
      </w:r>
      <w:r w:rsidRPr="003E3F81">
        <w:rPr>
          <w:rFonts w:ascii="Times New Roman" w:hAnsi="Times New Roman" w:cs="Times New Roman"/>
          <w:sz w:val="28"/>
          <w:szCs w:val="28"/>
        </w:rPr>
        <w:t xml:space="preserve">comitês técnicos </w:t>
      </w:r>
      <w:r>
        <w:rPr>
          <w:rFonts w:ascii="Times New Roman" w:hAnsi="Times New Roman" w:cs="Times New Roman"/>
          <w:sz w:val="28"/>
          <w:szCs w:val="28"/>
        </w:rPr>
        <w:t xml:space="preserve">– integrados por especialistas de diversos setores – </w:t>
      </w:r>
      <w:r w:rsidRPr="003E3F8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também</w:t>
      </w:r>
      <w:r w:rsidRPr="003E3F81">
        <w:rPr>
          <w:rFonts w:ascii="Times New Roman" w:hAnsi="Times New Roman" w:cs="Times New Roman"/>
          <w:sz w:val="28"/>
          <w:szCs w:val="28"/>
        </w:rPr>
        <w:t xml:space="preserve"> um </w:t>
      </w:r>
      <w:r w:rsidRPr="00F35D43">
        <w:rPr>
          <w:rFonts w:ascii="Times New Roman" w:hAnsi="Times New Roman" w:cs="Times New Roman"/>
          <w:b/>
          <w:bCs/>
          <w:sz w:val="28"/>
          <w:szCs w:val="28"/>
        </w:rPr>
        <w:t>comitê de controle social</w:t>
      </w:r>
      <w:r w:rsidRPr="003E3F81">
        <w:rPr>
          <w:rFonts w:ascii="Times New Roman" w:hAnsi="Times New Roman" w:cs="Times New Roman"/>
          <w:sz w:val="28"/>
          <w:szCs w:val="28"/>
        </w:rPr>
        <w:t xml:space="preserve"> com a finalidade de assegurar o acompanhamento direto, pela sociedade civil, do funcionamento </w:t>
      </w:r>
      <w:r>
        <w:rPr>
          <w:rFonts w:ascii="Times New Roman" w:hAnsi="Times New Roman" w:cs="Times New Roman"/>
          <w:sz w:val="28"/>
          <w:szCs w:val="28"/>
        </w:rPr>
        <w:t xml:space="preserve">dos sistemas nacionais </w:t>
      </w:r>
      <w:r w:rsidRPr="003E3F81">
        <w:rPr>
          <w:rFonts w:ascii="Times New Roman" w:hAnsi="Times New Roman" w:cs="Times New Roman"/>
          <w:sz w:val="28"/>
          <w:szCs w:val="28"/>
        </w:rPr>
        <w:t>e propor formas simplificadas de divulgação das informações para acesso público.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1D36D" w14:textId="15028FF5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Entidades</w:t>
      </w:r>
      <w:r w:rsidR="00756140">
        <w:rPr>
          <w:rFonts w:ascii="Times New Roman" w:hAnsi="Times New Roman" w:cs="Times New Roman"/>
          <w:sz w:val="28"/>
          <w:szCs w:val="28"/>
        </w:rPr>
        <w:t xml:space="preserve"> qualificadas, </w:t>
      </w:r>
      <w:r>
        <w:rPr>
          <w:rFonts w:ascii="Times New Roman" w:hAnsi="Times New Roman" w:cs="Times New Roman"/>
          <w:sz w:val="28"/>
          <w:szCs w:val="28"/>
        </w:rPr>
        <w:t xml:space="preserve">tais como a Transparência Internacional, o Instituto Não Aceito Corrupção – INAC, a Associação Contas Abertas, o Instituto de Fiscalização e Controle-IFC, o Movimento de Combate à Corrupção Eleitoral – MCCE, o Observatório Social, e a própria Ordem dos Advogados do Brasil, dentre outras, poderão integrar o </w:t>
      </w:r>
      <w:r w:rsidRPr="00F35D43">
        <w:rPr>
          <w:rFonts w:ascii="Times New Roman" w:hAnsi="Times New Roman" w:cs="Times New Roman"/>
          <w:b/>
          <w:bCs/>
          <w:sz w:val="28"/>
          <w:szCs w:val="28"/>
        </w:rPr>
        <w:t>comitê de controle social</w:t>
      </w:r>
      <w:r>
        <w:rPr>
          <w:rFonts w:ascii="Times New Roman" w:hAnsi="Times New Roman" w:cs="Times New Roman"/>
          <w:sz w:val="28"/>
          <w:szCs w:val="28"/>
        </w:rPr>
        <w:t xml:space="preserve"> dos portais da União e contribuir para simplificar a divulgação das informações para garantir a</w:t>
      </w:r>
      <w:r w:rsidR="00756140">
        <w:rPr>
          <w:rFonts w:ascii="Times New Roman" w:hAnsi="Times New Roman" w:cs="Times New Roman"/>
          <w:sz w:val="28"/>
          <w:szCs w:val="28"/>
        </w:rPr>
        <w:t xml:space="preserve"> melhor</w:t>
      </w:r>
      <w:r>
        <w:rPr>
          <w:rFonts w:ascii="Times New Roman" w:hAnsi="Times New Roman" w:cs="Times New Roman"/>
          <w:sz w:val="28"/>
          <w:szCs w:val="28"/>
        </w:rPr>
        <w:t xml:space="preserve"> compreensão pelo cidadão.</w:t>
      </w:r>
    </w:p>
    <w:p w14:paraId="6BE8F0E2" w14:textId="3B784512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garantir a operação dos sistemas, os órgãos centralizados da União devem definir padrões mínimos para detalhamento das informações. A novidade em relação à situação atual é a padronização dos </w:t>
      </w:r>
      <w:r w:rsidRPr="00756140">
        <w:rPr>
          <w:rFonts w:ascii="Times New Roman" w:hAnsi="Times New Roman" w:cs="Times New Roman"/>
          <w:sz w:val="28"/>
          <w:szCs w:val="28"/>
        </w:rPr>
        <w:t>indicadores de identificação orçamentária da despesa</w:t>
      </w:r>
      <w:r w:rsidRPr="004804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essencial para a realização dos cálculos automáticos dos mínimos de educação e saúde, a exemplo do que a União já adota (ID-USO 06 para saúde e 08 para educação). Essa padronização</w:t>
      </w:r>
      <w:r w:rsidR="00756140">
        <w:rPr>
          <w:rFonts w:ascii="Times New Roman" w:hAnsi="Times New Roman" w:cs="Times New Roman"/>
          <w:sz w:val="28"/>
          <w:szCs w:val="28"/>
        </w:rPr>
        <w:t xml:space="preserve"> nacional</w:t>
      </w:r>
      <w:r>
        <w:rPr>
          <w:rFonts w:ascii="Times New Roman" w:hAnsi="Times New Roman" w:cs="Times New Roman"/>
          <w:sz w:val="28"/>
          <w:szCs w:val="28"/>
        </w:rPr>
        <w:t xml:space="preserve"> também é fundamental para assegurar a rastreabilidade e a comparabilidade a partir de procedimentos de mineração de dados, a cujo resultado seja dado amplo acesso ao cidadão</w:t>
      </w:r>
      <w:r w:rsidR="00756140">
        <w:rPr>
          <w:rFonts w:ascii="Times New Roman" w:hAnsi="Times New Roman" w:cs="Times New Roman"/>
          <w:sz w:val="28"/>
          <w:szCs w:val="28"/>
        </w:rPr>
        <w:t>, exigência do art. 163-A da Constituição da República, com redação dada pela Emenda Constitucional nº 108, de 2020.</w:t>
      </w:r>
    </w:p>
    <w:p w14:paraId="626E0AB5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Ainda no campo do autocontrole, a proposta sinaliza para importância de estruturar o S</w:t>
      </w:r>
      <w:r w:rsidRPr="00EE5B39">
        <w:rPr>
          <w:rFonts w:ascii="Times New Roman" w:hAnsi="Times New Roman" w:cs="Times New Roman"/>
          <w:sz w:val="28"/>
          <w:szCs w:val="28"/>
        </w:rPr>
        <w:t>istema Nacional de Auditoria do Sistema Único de Saúde (SNA/SUS)</w:t>
      </w:r>
      <w:r>
        <w:rPr>
          <w:rFonts w:ascii="Times New Roman" w:hAnsi="Times New Roman" w:cs="Times New Roman"/>
          <w:sz w:val="28"/>
          <w:szCs w:val="28"/>
        </w:rPr>
        <w:t xml:space="preserve">. As cobranças do TCU para o Poder Executivo organizar o DENASUS remontam ao ano de 1993, ocasião em que o então Ministro, Carlos Átila, declarou que,  </w:t>
      </w:r>
      <w:r w:rsidRPr="00EE5B39">
        <w:rPr>
          <w:rFonts w:ascii="Times New Roman" w:hAnsi="Times New Roman" w:cs="Times New Roman"/>
          <w:sz w:val="28"/>
          <w:szCs w:val="28"/>
        </w:rPr>
        <w:t>“</w:t>
      </w:r>
      <w:r w:rsidRPr="00EE5B39">
        <w:rPr>
          <w:rFonts w:ascii="Times New Roman" w:hAnsi="Times New Roman" w:cs="Times New Roman"/>
          <w:i/>
          <w:iCs/>
          <w:sz w:val="28"/>
          <w:szCs w:val="28"/>
        </w:rPr>
        <w:t xml:space="preserve">mesmo que o sistema de auditoria custasse o dobro do que custa o TCU, com todas as suas Secretarias Regionais e 2 mil servidores, </w:t>
      </w:r>
      <w:r w:rsidRPr="0035666C">
        <w:rPr>
          <w:rFonts w:ascii="Times New Roman" w:hAnsi="Times New Roman" w:cs="Times New Roman"/>
          <w:i/>
          <w:iCs/>
          <w:sz w:val="28"/>
          <w:szCs w:val="28"/>
        </w:rPr>
        <w:t>ainda assim o controle exercido pela Auditoria proporcionaria economia superior a seu custo de operação</w:t>
      </w:r>
      <w:r w:rsidRPr="00EE5B39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(Decisão 576/1993-TCU-Plenário).</w:t>
      </w:r>
    </w:p>
    <w:p w14:paraId="329D9E4B" w14:textId="41266E40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órgãos do SNA, diferentemente das demais instâncias de controle que se volta</w:t>
      </w:r>
      <w:r w:rsidR="00756140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para a persecução do dano, </w:t>
      </w:r>
      <w:r w:rsidRPr="0005110E">
        <w:rPr>
          <w:rFonts w:ascii="Times New Roman" w:hAnsi="Times New Roman" w:cs="Times New Roman"/>
          <w:sz w:val="28"/>
          <w:szCs w:val="28"/>
        </w:rPr>
        <w:t xml:space="preserve">darão ênfase para as atividades de </w:t>
      </w:r>
      <w:r w:rsidRPr="00756140">
        <w:rPr>
          <w:rFonts w:ascii="Times New Roman" w:hAnsi="Times New Roman" w:cs="Times New Roman"/>
          <w:b/>
          <w:bCs/>
          <w:sz w:val="28"/>
          <w:szCs w:val="28"/>
        </w:rPr>
        <w:t>avaliação técnico-científica e de gestão</w:t>
      </w:r>
      <w:r>
        <w:rPr>
          <w:rFonts w:ascii="Times New Roman" w:hAnsi="Times New Roman" w:cs="Times New Roman"/>
          <w:sz w:val="28"/>
          <w:szCs w:val="28"/>
        </w:rPr>
        <w:t>, de forma a colaborar com o gestor visando à eficiência da gestão da política pública de saúde. Outro avanço importante é que o SNA passa</w:t>
      </w:r>
      <w:r w:rsidR="00756140">
        <w:rPr>
          <w:rFonts w:ascii="Times New Roman" w:hAnsi="Times New Roman" w:cs="Times New Roman"/>
          <w:sz w:val="28"/>
          <w:szCs w:val="28"/>
        </w:rPr>
        <w:t>rá</w:t>
      </w:r>
      <w:r>
        <w:rPr>
          <w:rFonts w:ascii="Times New Roman" w:hAnsi="Times New Roman" w:cs="Times New Roman"/>
          <w:sz w:val="28"/>
          <w:szCs w:val="28"/>
        </w:rPr>
        <w:t xml:space="preserve"> a ser orientado pelos princípios e diretrizes que norteiam os órgãos de controle interno, de forma a assegurar a independência técnica dos Auditores do SUS.</w:t>
      </w:r>
    </w:p>
    <w:p w14:paraId="7FC1D347" w14:textId="4C56495A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racionalizar </w:t>
      </w:r>
      <w:r w:rsidRPr="0005110E">
        <w:rPr>
          <w:rFonts w:ascii="Times New Roman" w:hAnsi="Times New Roman" w:cs="Times New Roman"/>
          <w:sz w:val="28"/>
          <w:szCs w:val="28"/>
        </w:rPr>
        <w:t xml:space="preserve">as ações de controle, o plano anual e o resultado final das auditorias realizadas pelos </w:t>
      </w:r>
      <w:r>
        <w:rPr>
          <w:rFonts w:ascii="Times New Roman" w:hAnsi="Times New Roman" w:cs="Times New Roman"/>
          <w:sz w:val="28"/>
          <w:szCs w:val="28"/>
        </w:rPr>
        <w:t>DENASUS e órgãos correspondentes nas demais esferas</w:t>
      </w:r>
      <w:r w:rsidRPr="0005110E">
        <w:rPr>
          <w:rFonts w:ascii="Times New Roman" w:hAnsi="Times New Roman" w:cs="Times New Roman"/>
          <w:sz w:val="28"/>
          <w:szCs w:val="28"/>
        </w:rPr>
        <w:t xml:space="preserve"> serão registrados </w:t>
      </w:r>
      <w:r>
        <w:rPr>
          <w:rFonts w:ascii="Times New Roman" w:hAnsi="Times New Roman" w:cs="Times New Roman"/>
          <w:sz w:val="28"/>
          <w:szCs w:val="28"/>
        </w:rPr>
        <w:t>e plataforma digital</w:t>
      </w:r>
      <w:r w:rsidRPr="0005110E">
        <w:rPr>
          <w:rFonts w:ascii="Times New Roman" w:hAnsi="Times New Roman" w:cs="Times New Roman"/>
          <w:sz w:val="28"/>
          <w:szCs w:val="28"/>
        </w:rPr>
        <w:t xml:space="preserve">, </w:t>
      </w:r>
      <w:r w:rsidR="00756140">
        <w:rPr>
          <w:rFonts w:ascii="Times New Roman" w:hAnsi="Times New Roman" w:cs="Times New Roman"/>
          <w:sz w:val="28"/>
          <w:szCs w:val="28"/>
        </w:rPr>
        <w:t>à</w:t>
      </w:r>
      <w:r w:rsidRPr="0005110E">
        <w:rPr>
          <w:rFonts w:ascii="Times New Roman" w:hAnsi="Times New Roman" w:cs="Times New Roman"/>
          <w:sz w:val="28"/>
          <w:szCs w:val="28"/>
        </w:rPr>
        <w:t xml:space="preserve"> qual será dado acesso aos órgãos de controle interno e externo e ao Ministério Público com competência para atuar no âmbito de cada ente da Federação, observada a origem do recurso objeto da fiscalização</w:t>
      </w:r>
      <w:r w:rsidR="00756140">
        <w:rPr>
          <w:rFonts w:ascii="Times New Roman" w:hAnsi="Times New Roman" w:cs="Times New Roman"/>
          <w:sz w:val="28"/>
          <w:szCs w:val="28"/>
        </w:rPr>
        <w:t>, conforme disposto no art. 27 da Lei Complementar nº 141, de 2012.</w:t>
      </w:r>
    </w:p>
    <w:p w14:paraId="3A2FC808" w14:textId="77777777" w:rsidR="00756140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DENASUS passa a ser órgão </w:t>
      </w:r>
      <w:r w:rsidRPr="00EE5B39">
        <w:rPr>
          <w:rFonts w:ascii="Times New Roman" w:hAnsi="Times New Roman" w:cs="Times New Roman"/>
          <w:sz w:val="28"/>
          <w:szCs w:val="28"/>
        </w:rPr>
        <w:t>permanente</w:t>
      </w:r>
      <w:r>
        <w:rPr>
          <w:rFonts w:ascii="Times New Roman" w:hAnsi="Times New Roman" w:cs="Times New Roman"/>
          <w:sz w:val="28"/>
          <w:szCs w:val="28"/>
        </w:rPr>
        <w:t>, com correspondente em cada ente da Federação</w:t>
      </w:r>
      <w:r w:rsidRPr="00EE5B39">
        <w:rPr>
          <w:rFonts w:ascii="Times New Roman" w:hAnsi="Times New Roman" w:cs="Times New Roman"/>
          <w:sz w:val="28"/>
          <w:szCs w:val="28"/>
        </w:rPr>
        <w:t>, estruturado em quadro de pessoal efetivo para o exercício da fiscalização, avaliação e controle das ações e serviços públicos de saúde.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435CA" w14:textId="77777777" w:rsidR="00105A1A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202</w:t>
      </w:r>
      <w:r w:rsidR="007561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o orçamento federal em saúde superou R$ </w:t>
      </w:r>
      <w:r w:rsidR="00756140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bilhões, dos quais cerca de </w:t>
      </w:r>
      <w:r w:rsidRPr="0005110E">
        <w:rPr>
          <w:rFonts w:ascii="Times New Roman" w:hAnsi="Times New Roman" w:cs="Times New Roman"/>
          <w:b/>
          <w:bCs/>
          <w:sz w:val="28"/>
          <w:szCs w:val="28"/>
        </w:rPr>
        <w:t>R$ 1</w:t>
      </w:r>
      <w:r w:rsidR="007561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110E">
        <w:rPr>
          <w:rFonts w:ascii="Times New Roman" w:hAnsi="Times New Roman" w:cs="Times New Roman"/>
          <w:b/>
          <w:bCs/>
          <w:sz w:val="28"/>
          <w:szCs w:val="28"/>
        </w:rPr>
        <w:t>3 bilhões</w:t>
      </w:r>
      <w:r>
        <w:rPr>
          <w:rFonts w:ascii="Times New Roman" w:hAnsi="Times New Roman" w:cs="Times New Roman"/>
          <w:sz w:val="28"/>
          <w:szCs w:val="28"/>
        </w:rPr>
        <w:t xml:space="preserve"> foram repassados aos Estados, Distrito Federal e Municípios</w:t>
      </w:r>
      <w:r w:rsidR="00756140">
        <w:rPr>
          <w:rFonts w:ascii="Times New Roman" w:hAnsi="Times New Roman" w:cs="Times New Roman"/>
          <w:sz w:val="28"/>
          <w:szCs w:val="28"/>
        </w:rPr>
        <w:t>, sem que haja controle efetivo sobre esse volume expressivo de recurso, conforme apontado no Voto do relator das contas presidenciais</w:t>
      </w:r>
      <w:r w:rsidR="00756140"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  <w:r w:rsidR="00756140">
        <w:rPr>
          <w:rFonts w:ascii="Times New Roman" w:hAnsi="Times New Roman" w:cs="Times New Roman"/>
          <w:sz w:val="28"/>
          <w:szCs w:val="28"/>
        </w:rPr>
        <w:t xml:space="preserve"> de 2020. </w:t>
      </w:r>
    </w:p>
    <w:p w14:paraId="49D34CDE" w14:textId="695966F0" w:rsidR="0011527F" w:rsidRDefault="00756140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Com a Emenda nº 108, de 2020, a complementação da União para o </w:t>
      </w:r>
      <w:r w:rsidR="00105A1A">
        <w:rPr>
          <w:rFonts w:ascii="Times New Roman" w:hAnsi="Times New Roman" w:cs="Times New Roman"/>
          <w:sz w:val="28"/>
          <w:szCs w:val="28"/>
        </w:rPr>
        <w:t>FUNDEB</w:t>
      </w:r>
      <w:r>
        <w:rPr>
          <w:rFonts w:ascii="Times New Roman" w:hAnsi="Times New Roman" w:cs="Times New Roman"/>
          <w:sz w:val="28"/>
          <w:szCs w:val="28"/>
        </w:rPr>
        <w:t xml:space="preserve"> superou R$ </w:t>
      </w:r>
      <w:r w:rsidRPr="00756140">
        <w:rPr>
          <w:rFonts w:ascii="Times New Roman" w:hAnsi="Times New Roman" w:cs="Times New Roman"/>
          <w:b/>
          <w:bCs/>
          <w:sz w:val="28"/>
          <w:szCs w:val="28"/>
        </w:rPr>
        <w:t>23 bilhões</w:t>
      </w:r>
      <w:r>
        <w:rPr>
          <w:rFonts w:ascii="Times New Roman" w:hAnsi="Times New Roman" w:cs="Times New Roman"/>
          <w:sz w:val="28"/>
          <w:szCs w:val="28"/>
        </w:rPr>
        <w:t xml:space="preserve"> em 2021, constituindo transferência obrigatória sem que a União utilize as ferramentas digitais de que dispõe</w:t>
      </w:r>
      <w:r w:rsidR="00105A1A">
        <w:rPr>
          <w:rFonts w:ascii="Times New Roman" w:hAnsi="Times New Roman" w:cs="Times New Roman"/>
          <w:sz w:val="28"/>
          <w:szCs w:val="28"/>
        </w:rPr>
        <w:t xml:space="preserve"> (Plataforma +Brasil e Portal Nacional de Contratações Públicas)</w:t>
      </w:r>
      <w:r>
        <w:rPr>
          <w:rFonts w:ascii="Times New Roman" w:hAnsi="Times New Roman" w:cs="Times New Roman"/>
          <w:sz w:val="28"/>
          <w:szCs w:val="28"/>
        </w:rPr>
        <w:t xml:space="preserve"> para realizar o monitoramento, avaliação e controle</w:t>
      </w:r>
      <w:r w:rsidR="00105A1A">
        <w:rPr>
          <w:rFonts w:ascii="Times New Roman" w:hAnsi="Times New Roman" w:cs="Times New Roman"/>
          <w:sz w:val="28"/>
          <w:szCs w:val="28"/>
        </w:rPr>
        <w:t>, além de viabilizar a rastreabilidade e a comparabilidade das informações, conforme exigido pela Emenda que instituiu o novo FUNDEB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5A1A">
        <w:rPr>
          <w:rFonts w:ascii="Times New Roman" w:hAnsi="Times New Roman" w:cs="Times New Roman"/>
          <w:sz w:val="28"/>
          <w:szCs w:val="28"/>
        </w:rPr>
        <w:t xml:space="preserve"> Vide</w:t>
      </w:r>
      <w:r w:rsidR="001B3CB4">
        <w:rPr>
          <w:rFonts w:ascii="Times New Roman" w:hAnsi="Times New Roman" w:cs="Times New Roman"/>
          <w:sz w:val="28"/>
          <w:szCs w:val="28"/>
        </w:rPr>
        <w:t xml:space="preserve"> determinações e recomendações </w:t>
      </w:r>
      <w:proofErr w:type="spellStart"/>
      <w:r w:rsidR="001B3CB4">
        <w:rPr>
          <w:rFonts w:ascii="Times New Roman" w:hAnsi="Times New Roman" w:cs="Times New Roman"/>
          <w:sz w:val="28"/>
          <w:szCs w:val="28"/>
        </w:rPr>
        <w:t>contantes</w:t>
      </w:r>
      <w:proofErr w:type="spellEnd"/>
      <w:r w:rsidR="001B3CB4">
        <w:rPr>
          <w:rFonts w:ascii="Times New Roman" w:hAnsi="Times New Roman" w:cs="Times New Roman"/>
          <w:sz w:val="28"/>
          <w:szCs w:val="28"/>
        </w:rPr>
        <w:t xml:space="preserve"> do</w:t>
      </w:r>
      <w:r w:rsidR="00105A1A">
        <w:rPr>
          <w:rFonts w:ascii="Times New Roman" w:hAnsi="Times New Roman" w:cs="Times New Roman"/>
          <w:sz w:val="28"/>
          <w:szCs w:val="28"/>
        </w:rPr>
        <w:t xml:space="preserve"> Acórdão nº 3.061/2019-TCU-Plenário.</w:t>
      </w:r>
    </w:p>
    <w:p w14:paraId="24AC500A" w14:textId="1FA6F10D" w:rsidR="001B3CB4" w:rsidRDefault="001B3CB4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utilização de plataforma digital para reunir as informações sobre recursos de natureza federal, sujeitos à fiscalização e julgamento de contas pela União tem o potencial de induzir a maior efetividade dos recursos próprios dos entes subnacionais, na medida em que o acesso à plataforma digital sobre a aplicação dos recursos da União contribuirá para a atuação de monitoramento, avaliação e controle dos Tribunais de Contas e Ministério Público estaduais.</w:t>
      </w:r>
    </w:p>
    <w:p w14:paraId="4A38C713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3A095A" w14:textId="77777777" w:rsidR="0011527F" w:rsidRPr="00105A1A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05A1A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Controle Interno</w:t>
      </w:r>
    </w:p>
    <w:p w14:paraId="4C4D23F7" w14:textId="77777777" w:rsidR="00105A1A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proposta de autoria de Trad também exige a implantação, manutenção, monitoramento e revisão dos </w:t>
      </w:r>
      <w:r w:rsidRPr="0005110E">
        <w:rPr>
          <w:rFonts w:ascii="Times New Roman" w:hAnsi="Times New Roman" w:cs="Times New Roman"/>
          <w:sz w:val="28"/>
          <w:szCs w:val="28"/>
        </w:rPr>
        <w:t>controles internos institucionais, tendo por base a identificação, avaliação e gerenciamento de riscos que possam impactar a consecução dos objetivos estabelecidos pelo Poder Público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5BFA6" w14:textId="499D0859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Segundo a proposta, para cumprir o que estabelece a Constituição, </w:t>
      </w:r>
      <w:r w:rsidRPr="0005110E">
        <w:rPr>
          <w:rFonts w:ascii="Times New Roman" w:hAnsi="Times New Roman" w:cs="Times New Roman"/>
          <w:sz w:val="28"/>
          <w:szCs w:val="28"/>
        </w:rPr>
        <w:t>a auditoria interna dos Poderes</w:t>
      </w:r>
      <w:r>
        <w:rPr>
          <w:rFonts w:ascii="Times New Roman" w:hAnsi="Times New Roman" w:cs="Times New Roman"/>
          <w:sz w:val="28"/>
          <w:szCs w:val="28"/>
        </w:rPr>
        <w:t xml:space="preserve"> deverá priorizar </w:t>
      </w:r>
      <w:r w:rsidRPr="0005110E">
        <w:rPr>
          <w:rFonts w:ascii="Times New Roman" w:hAnsi="Times New Roman" w:cs="Times New Roman"/>
          <w:sz w:val="28"/>
          <w:szCs w:val="28"/>
        </w:rPr>
        <w:t>as atividades de avaliação da gestão e de apoio ao controle externo, especialmente no que concerne à auditoria e à certificação de contas</w:t>
      </w:r>
      <w:r w:rsidR="00105A1A">
        <w:rPr>
          <w:rFonts w:ascii="Times New Roman" w:hAnsi="Times New Roman" w:cs="Times New Roman"/>
          <w:sz w:val="28"/>
          <w:szCs w:val="28"/>
        </w:rPr>
        <w:t>, de forma a evitar sobreposição de esforços</w:t>
      </w:r>
      <w:r w:rsidRPr="0005110E">
        <w:rPr>
          <w:rFonts w:ascii="Times New Roman" w:hAnsi="Times New Roman" w:cs="Times New Roman"/>
          <w:sz w:val="28"/>
          <w:szCs w:val="28"/>
        </w:rPr>
        <w:t>.</w:t>
      </w:r>
    </w:p>
    <w:p w14:paraId="56162A2E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5D0FB0" w14:textId="77777777" w:rsidR="0011527F" w:rsidRPr="00105A1A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05A1A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Fiscalização Financeira pelo Poder Legislativo</w:t>
      </w:r>
    </w:p>
    <w:p w14:paraId="2C2F98C6" w14:textId="6A3032C0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Além de fixar o prazo de 90 dias para o </w:t>
      </w:r>
      <w:r w:rsidRPr="008548D9">
        <w:rPr>
          <w:rFonts w:ascii="Times New Roman" w:hAnsi="Times New Roman" w:cs="Times New Roman"/>
          <w:sz w:val="28"/>
          <w:szCs w:val="28"/>
        </w:rPr>
        <w:t xml:space="preserve">Congresso Nacional julgar anualmente as contas prestadas pelo Presidente da República, </w:t>
      </w:r>
      <w:r>
        <w:rPr>
          <w:rFonts w:ascii="Times New Roman" w:hAnsi="Times New Roman" w:cs="Times New Roman"/>
          <w:sz w:val="28"/>
          <w:szCs w:val="28"/>
        </w:rPr>
        <w:t xml:space="preserve">a proposta estabelece normas gerais referentes à relação Congresso Nacional e TCU para a fiscalização de obras paralisadas. O tema, que é típico de fiscalização financeira sujeita a </w:t>
      </w:r>
      <w:r w:rsidR="00105A1A">
        <w:rPr>
          <w:rFonts w:ascii="Times New Roman" w:hAnsi="Times New Roman" w:cs="Times New Roman"/>
          <w:sz w:val="28"/>
          <w:szCs w:val="28"/>
        </w:rPr>
        <w:t>normas</w:t>
      </w:r>
      <w:r>
        <w:rPr>
          <w:rFonts w:ascii="Times New Roman" w:hAnsi="Times New Roman" w:cs="Times New Roman"/>
          <w:sz w:val="28"/>
          <w:szCs w:val="28"/>
        </w:rPr>
        <w:t xml:space="preserve"> gerais fixadas por lei complementar, vem sendo tratado nas leis de diretrizes orçamentárias de forma precária.</w:t>
      </w:r>
    </w:p>
    <w:p w14:paraId="3904A27F" w14:textId="6D43AD7E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proposta prevê </w:t>
      </w:r>
      <w:r w:rsidRPr="008548D9">
        <w:rPr>
          <w:rFonts w:ascii="Times New Roman" w:hAnsi="Times New Roman" w:cs="Times New Roman"/>
          <w:sz w:val="28"/>
          <w:szCs w:val="28"/>
        </w:rPr>
        <w:t>relatórios periódicos com informações sobre indícios de irregularidades graves identificados nas fiscalizações referentes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8D9">
        <w:rPr>
          <w:rFonts w:ascii="Times New Roman" w:hAnsi="Times New Roman" w:cs="Times New Roman"/>
          <w:sz w:val="28"/>
          <w:szCs w:val="28"/>
        </w:rPr>
        <w:t>a obras e serviços públicos</w:t>
      </w:r>
      <w:r w:rsidR="00105A1A">
        <w:rPr>
          <w:rFonts w:ascii="Times New Roman" w:hAnsi="Times New Roman" w:cs="Times New Roman"/>
          <w:sz w:val="28"/>
          <w:szCs w:val="28"/>
        </w:rPr>
        <w:t>,</w:t>
      </w:r>
      <w:r w:rsidRPr="00854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assim como</w:t>
      </w:r>
      <w:r w:rsidRPr="008548D9">
        <w:rPr>
          <w:rFonts w:ascii="Times New Roman" w:hAnsi="Times New Roman" w:cs="Times New Roman"/>
          <w:sz w:val="28"/>
          <w:szCs w:val="28"/>
        </w:rPr>
        <w:t xml:space="preserve"> aos relatórios bimestrais de avaliação das receitas e despesas primárias, com destaque para os riscos de descumprimento das metas fiscais</w:t>
      </w:r>
      <w:r>
        <w:rPr>
          <w:rFonts w:ascii="Times New Roman" w:hAnsi="Times New Roman" w:cs="Times New Roman"/>
          <w:sz w:val="28"/>
          <w:szCs w:val="28"/>
        </w:rPr>
        <w:t xml:space="preserve">. Prevê, ainda, relatórios referentes </w:t>
      </w:r>
      <w:r w:rsidRPr="008548D9">
        <w:rPr>
          <w:rFonts w:ascii="Times New Roman" w:hAnsi="Times New Roman" w:cs="Times New Roman"/>
          <w:sz w:val="28"/>
          <w:szCs w:val="28"/>
        </w:rPr>
        <w:t>à qualidade da implementação e ao alcance de metas e objetivos dos programas e das ações governamentais objeto de auditorias operacionais realizadas para subsidiar a discussão do projeto de lei orçamentária.</w:t>
      </w:r>
    </w:p>
    <w:p w14:paraId="01DAAF51" w14:textId="137E819A" w:rsidR="0011527F" w:rsidRDefault="00105A1A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Dispõe também sobre a</w:t>
      </w:r>
      <w:r w:rsidR="0011527F">
        <w:rPr>
          <w:rFonts w:ascii="Times New Roman" w:hAnsi="Times New Roman" w:cs="Times New Roman"/>
          <w:sz w:val="28"/>
          <w:szCs w:val="28"/>
        </w:rPr>
        <w:t xml:space="preserve"> p</w:t>
      </w:r>
      <w:r w:rsidR="0011527F" w:rsidRPr="008548D9">
        <w:rPr>
          <w:rFonts w:ascii="Times New Roman" w:hAnsi="Times New Roman" w:cs="Times New Roman"/>
          <w:sz w:val="28"/>
          <w:szCs w:val="28"/>
        </w:rPr>
        <w:t>articipação de representante</w:t>
      </w:r>
      <w:r w:rsidR="0011527F">
        <w:rPr>
          <w:rFonts w:ascii="Times New Roman" w:hAnsi="Times New Roman" w:cs="Times New Roman"/>
          <w:sz w:val="28"/>
          <w:szCs w:val="28"/>
        </w:rPr>
        <w:t>s</w:t>
      </w:r>
      <w:r w:rsidR="0011527F" w:rsidRPr="008548D9">
        <w:rPr>
          <w:rFonts w:ascii="Times New Roman" w:hAnsi="Times New Roman" w:cs="Times New Roman"/>
          <w:sz w:val="28"/>
          <w:szCs w:val="28"/>
        </w:rPr>
        <w:t xml:space="preserve"> do </w:t>
      </w:r>
      <w:r w:rsidR="0011527F">
        <w:rPr>
          <w:rFonts w:ascii="Times New Roman" w:hAnsi="Times New Roman" w:cs="Times New Roman"/>
          <w:sz w:val="28"/>
          <w:szCs w:val="28"/>
        </w:rPr>
        <w:t xml:space="preserve">Tribunal de Contas e do </w:t>
      </w:r>
      <w:r w:rsidR="0011527F" w:rsidRPr="008548D9">
        <w:rPr>
          <w:rFonts w:ascii="Times New Roman" w:hAnsi="Times New Roman" w:cs="Times New Roman"/>
          <w:sz w:val="28"/>
          <w:szCs w:val="28"/>
        </w:rPr>
        <w:t>Ministério Público de Contas junto ao Tribunal nas audiências públicas</w:t>
      </w:r>
      <w:r w:rsidR="0011527F">
        <w:rPr>
          <w:rFonts w:ascii="Times New Roman" w:hAnsi="Times New Roman" w:cs="Times New Roman"/>
          <w:sz w:val="28"/>
          <w:szCs w:val="28"/>
        </w:rPr>
        <w:t xml:space="preserve"> quadrimestrais</w:t>
      </w:r>
      <w:r w:rsidR="0011527F" w:rsidRPr="008548D9">
        <w:rPr>
          <w:rFonts w:ascii="Times New Roman" w:hAnsi="Times New Roman" w:cs="Times New Roman"/>
          <w:sz w:val="28"/>
          <w:szCs w:val="28"/>
        </w:rPr>
        <w:t xml:space="preserve"> obrigatórias</w:t>
      </w:r>
      <w:r w:rsidR="0011527F">
        <w:rPr>
          <w:rFonts w:ascii="Times New Roman" w:hAnsi="Times New Roman" w:cs="Times New Roman"/>
          <w:sz w:val="28"/>
          <w:szCs w:val="28"/>
        </w:rPr>
        <w:t xml:space="preserve"> para o Poder Executivo demonstrar à respectiva Casa Legislativa </w:t>
      </w:r>
      <w:r w:rsidR="0011527F" w:rsidRPr="008548D9">
        <w:rPr>
          <w:rFonts w:ascii="Times New Roman" w:hAnsi="Times New Roman" w:cs="Times New Roman"/>
          <w:sz w:val="28"/>
          <w:szCs w:val="28"/>
        </w:rPr>
        <w:t>o cumprimento das metas fiscais e o conteúdo do relatório de gestão do SUS, conforme previsto na legislação vigente</w:t>
      </w:r>
      <w:r>
        <w:rPr>
          <w:rFonts w:ascii="Times New Roman" w:hAnsi="Times New Roman" w:cs="Times New Roman"/>
          <w:sz w:val="28"/>
          <w:szCs w:val="28"/>
        </w:rPr>
        <w:t xml:space="preserve"> (LRF e Lei Complementar nº 141, de 2012).</w:t>
      </w:r>
    </w:p>
    <w:p w14:paraId="3D846D59" w14:textId="47F33529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regras previstas neste eixo serão obrigatórias para União, para os Estados e Capitais.</w:t>
      </w:r>
      <w:r w:rsidR="00105A1A">
        <w:rPr>
          <w:rFonts w:ascii="Times New Roman" w:hAnsi="Times New Roman" w:cs="Times New Roman"/>
          <w:sz w:val="28"/>
          <w:szCs w:val="28"/>
        </w:rPr>
        <w:t xml:space="preserve"> Para os demais Municípios, ficaria a cargo de cada Tribunal de Contas normatizar, de acordo com sua capacidade operacional. Leva-se em consideração que os principais devedores da União são os Estados e Capitais, de forma que restringir a obrigatoriedade da participação dos órgãos de controle nas audiências nas esferas subnacionais pode contribuir para a sustentabilidade fiscal prevista na Emenda nº 109, de 2021.</w:t>
      </w:r>
    </w:p>
    <w:p w14:paraId="1C63CEA5" w14:textId="77777777" w:rsidR="0011527F" w:rsidRPr="0005110E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FB5C38" w14:textId="77777777" w:rsidR="0011527F" w:rsidRPr="00105A1A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05A1A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Fiscalização Financeira pelos Tribunais de Contas</w:t>
      </w:r>
    </w:p>
    <w:p w14:paraId="0179E046" w14:textId="4EDC6745" w:rsidR="0093615D" w:rsidRDefault="0011527F" w:rsidP="009361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proposta </w:t>
      </w:r>
      <w:r w:rsidRPr="001706FD">
        <w:rPr>
          <w:rFonts w:ascii="Times New Roman" w:hAnsi="Times New Roman" w:cs="Times New Roman"/>
          <w:sz w:val="28"/>
          <w:szCs w:val="28"/>
        </w:rPr>
        <w:t>estabelec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1706FD">
        <w:rPr>
          <w:rFonts w:ascii="Times New Roman" w:hAnsi="Times New Roman" w:cs="Times New Roman"/>
          <w:sz w:val="28"/>
          <w:szCs w:val="28"/>
        </w:rPr>
        <w:t xml:space="preserve"> padrão mínimo nacional de organização e normas de processo e garantias processuais asseguradas </w:t>
      </w:r>
      <w:r>
        <w:rPr>
          <w:rFonts w:ascii="Times New Roman" w:hAnsi="Times New Roman" w:cs="Times New Roman"/>
          <w:sz w:val="28"/>
          <w:szCs w:val="28"/>
        </w:rPr>
        <w:t>aos gestores</w:t>
      </w:r>
      <w:r w:rsidRPr="001706FD">
        <w:rPr>
          <w:rFonts w:ascii="Times New Roman" w:hAnsi="Times New Roman" w:cs="Times New Roman"/>
          <w:sz w:val="28"/>
          <w:szCs w:val="28"/>
        </w:rPr>
        <w:t>, ações coordenadas e transparentes que assegurem isonomia e segurança jurídica na fiscalização</w:t>
      </w:r>
      <w:r>
        <w:rPr>
          <w:rFonts w:ascii="Times New Roman" w:hAnsi="Times New Roman" w:cs="Times New Roman"/>
          <w:sz w:val="28"/>
          <w:szCs w:val="28"/>
        </w:rPr>
        <w:t xml:space="preserve"> financeira</w:t>
      </w:r>
      <w:r w:rsidRPr="001706FD">
        <w:rPr>
          <w:rFonts w:ascii="Times New Roman" w:hAnsi="Times New Roman" w:cs="Times New Roman"/>
          <w:sz w:val="28"/>
          <w:szCs w:val="28"/>
        </w:rPr>
        <w:t xml:space="preserve"> sobre a aplicação das normas gerais e específicas editadas pela União nas hipóteses previstas </w:t>
      </w:r>
      <w:r>
        <w:rPr>
          <w:rFonts w:ascii="Times New Roman" w:hAnsi="Times New Roman" w:cs="Times New Roman"/>
          <w:sz w:val="28"/>
          <w:szCs w:val="28"/>
        </w:rPr>
        <w:t xml:space="preserve">na Constituição. </w:t>
      </w:r>
      <w:r w:rsidR="0093615D">
        <w:rPr>
          <w:rFonts w:ascii="Times New Roman" w:hAnsi="Times New Roman" w:cs="Times New Roman"/>
          <w:sz w:val="28"/>
          <w:szCs w:val="28"/>
        </w:rPr>
        <w:t>A proposta reflete as medidas necessárias para que se alcance os resultados almejados pelo Ministro da Economia</w:t>
      </w:r>
      <w:r w:rsidR="0093615D">
        <w:rPr>
          <w:rFonts w:ascii="Times New Roman" w:hAnsi="Times New Roman" w:cs="Times New Roman"/>
          <w:sz w:val="28"/>
          <w:szCs w:val="28"/>
        </w:rPr>
        <w:t xml:space="preserve"> em algumas declarações públicas</w:t>
      </w:r>
      <w:r w:rsidR="0093615D">
        <w:rPr>
          <w:rStyle w:val="Refdenotaderodap"/>
          <w:rFonts w:ascii="Times New Roman" w:hAnsi="Times New Roman" w:cs="Times New Roman"/>
          <w:sz w:val="28"/>
          <w:szCs w:val="28"/>
        </w:rPr>
        <w:footnoteReference w:id="3"/>
      </w:r>
      <w:r w:rsidR="0093615D">
        <w:rPr>
          <w:rFonts w:ascii="Times New Roman" w:hAnsi="Times New Roman" w:cs="Times New Roman"/>
          <w:sz w:val="28"/>
          <w:szCs w:val="28"/>
        </w:rPr>
        <w:t>:</w:t>
      </w:r>
    </w:p>
    <w:p w14:paraId="3A904BE7" w14:textId="77777777" w:rsidR="0093615D" w:rsidRPr="0093615D" w:rsidRDefault="0093615D" w:rsidP="0093615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15D">
        <w:rPr>
          <w:rFonts w:ascii="Times New Roman" w:hAnsi="Times New Roman" w:cs="Times New Roman"/>
          <w:b/>
          <w:bCs/>
          <w:sz w:val="24"/>
          <w:szCs w:val="24"/>
        </w:rPr>
        <w:t>Estados quebraram por descontrole dos TCEs que precisam subir ao grau do TCU, diz Paulo Guedes</w:t>
      </w:r>
    </w:p>
    <w:p w14:paraId="4CBCB542" w14:textId="4F9E87FA" w:rsidR="0093615D" w:rsidRPr="0093615D" w:rsidRDefault="0093615D" w:rsidP="0093615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93615D">
        <w:rPr>
          <w:rFonts w:ascii="Times New Roman" w:hAnsi="Times New Roman" w:cs="Times New Roman"/>
          <w:sz w:val="24"/>
          <w:szCs w:val="24"/>
        </w:rPr>
        <w:t>O ministro da Economia argumentou que as cortes que fiscalizam governos e prefeituras precisam "subir ao padrão TCU"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93615D">
        <w:rPr>
          <w:rFonts w:ascii="Times New Roman" w:hAnsi="Times New Roman" w:cs="Times New Roman"/>
          <w:sz w:val="24"/>
          <w:szCs w:val="24"/>
        </w:rPr>
        <w:t>https://www.focus.jor.br/estados-quebraram-por-descontrole-dos-tces-que-precisam-subir-ao-grau-do-tcu-diz-paulo-guedes/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1EA8CE6" w14:textId="77777777" w:rsidR="0093615D" w:rsidRDefault="0093615D" w:rsidP="001B3CB4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6EDDB69" w14:textId="7872A9D7" w:rsidR="001B3CB4" w:rsidRPr="00105A1A" w:rsidRDefault="001B3CB4" w:rsidP="001B3CB4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05A1A">
        <w:rPr>
          <w:rFonts w:ascii="Times New Roman" w:hAnsi="Times New Roman" w:cs="Times New Roman"/>
          <w:sz w:val="24"/>
          <w:szCs w:val="24"/>
        </w:rPr>
        <w:t xml:space="preserve">BRASÍLIA (Reuters) - O ministro da Economia, Paulo Guedes, fez fortes elogios ao trabalho do Tribunal de Contas da União (TCU) nesta quarta-feira, acrescentando que </w:t>
      </w:r>
      <w:r w:rsidRPr="00105A1A">
        <w:rPr>
          <w:rFonts w:ascii="Times New Roman" w:hAnsi="Times New Roman" w:cs="Times New Roman"/>
          <w:b/>
          <w:bCs/>
          <w:sz w:val="24"/>
          <w:szCs w:val="24"/>
        </w:rPr>
        <w:t>este é um modelo de serviço público que deve ser seguido pelos tribunais de contas dos Estados</w:t>
      </w:r>
      <w:r w:rsidRPr="00105A1A">
        <w:rPr>
          <w:rFonts w:ascii="Times New Roman" w:hAnsi="Times New Roman" w:cs="Times New Roman"/>
          <w:sz w:val="24"/>
          <w:szCs w:val="24"/>
        </w:rPr>
        <w:t>.</w:t>
      </w:r>
    </w:p>
    <w:p w14:paraId="45BA40EC" w14:textId="14A1EBAF" w:rsidR="001B3CB4" w:rsidRDefault="001B3CB4" w:rsidP="001B3CB4">
      <w:pPr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105A1A">
        <w:rPr>
          <w:rFonts w:ascii="Times New Roman" w:hAnsi="Times New Roman" w:cs="Times New Roman"/>
          <w:sz w:val="24"/>
          <w:szCs w:val="24"/>
        </w:rPr>
        <w:t>"O TCU tem dado demonstração brilhante de cooperação conosco. O TCU, na pessoa do (presidente) José Mucio e de todo o quadro técnico, tem dado uma demonstração extraordinária de competência", afirmou Guedes em evento em Brasília, acrescentando que o órgão tem controlado e corrigido o Executivo em seus erros.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hyperlink r:id="rId11" w:history="1">
        <w:r w:rsidRPr="006A3EA0">
          <w:rPr>
            <w:rStyle w:val="Hyperlink"/>
            <w:rFonts w:ascii="Times New Roman" w:hAnsi="Times New Roman" w:cs="Times New Roman"/>
            <w:sz w:val="28"/>
            <w:szCs w:val="28"/>
          </w:rPr>
          <w:t>https://extra.globo.com/economia-e-financas/guedes-elogia-trabalho-do-tcu-como-padrao-ser-seguido-por-tribunais-de-contas-dos-estados-23449314.html</w:t>
        </w:r>
      </w:hyperlink>
      <w:r>
        <w:rPr>
          <w:rFonts w:ascii="Times New Roman" w:hAnsi="Times New Roman" w:cs="Times New Roman"/>
          <w:sz w:val="28"/>
          <w:szCs w:val="28"/>
        </w:rPr>
        <w:t>]</w:t>
      </w:r>
    </w:p>
    <w:p w14:paraId="7FE1CCD8" w14:textId="21F5000F" w:rsidR="0093615D" w:rsidRDefault="0093615D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9E2BB" w14:textId="77777777" w:rsidR="0093615D" w:rsidRPr="0093615D" w:rsidRDefault="0093615D" w:rsidP="0093615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15D">
        <w:rPr>
          <w:rFonts w:ascii="Times New Roman" w:hAnsi="Times New Roman" w:cs="Times New Roman"/>
          <w:b/>
          <w:bCs/>
          <w:sz w:val="24"/>
          <w:szCs w:val="24"/>
        </w:rPr>
        <w:t>Após questionar tribunais de contas, Guedes é criticado por conselheiros</w:t>
      </w:r>
    </w:p>
    <w:p w14:paraId="3E3C1CC4" w14:textId="77777777" w:rsidR="0093615D" w:rsidRPr="0093615D" w:rsidRDefault="0093615D" w:rsidP="0093615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15D">
        <w:rPr>
          <w:rFonts w:ascii="Times New Roman" w:hAnsi="Times New Roman" w:cs="Times New Roman"/>
          <w:b/>
          <w:bCs/>
          <w:sz w:val="24"/>
          <w:szCs w:val="24"/>
        </w:rPr>
        <w:t>A crise com Guedes foi aberta na esteira das discussões da chamada 'PEC Emergencial' depois que o ministro defendeu a vinculação, prevista no texto, entre decisões do Tribunal de Contas da União (TCU) e dos Tribunais de Contas dos Estados (</w:t>
      </w:r>
      <w:proofErr w:type="spellStart"/>
      <w:r w:rsidRPr="0093615D">
        <w:rPr>
          <w:rFonts w:ascii="Times New Roman" w:hAnsi="Times New Roman" w:cs="Times New Roman"/>
          <w:b/>
          <w:bCs/>
          <w:sz w:val="24"/>
          <w:szCs w:val="24"/>
        </w:rPr>
        <w:t>TCEs</w:t>
      </w:r>
      <w:proofErr w:type="spellEnd"/>
      <w:r w:rsidRPr="0093615D">
        <w:rPr>
          <w:rFonts w:ascii="Times New Roman" w:hAnsi="Times New Roman" w:cs="Times New Roman"/>
          <w:b/>
          <w:bCs/>
          <w:sz w:val="24"/>
          <w:szCs w:val="24"/>
        </w:rPr>
        <w:t>) relacionadas a contabilidade de gastos</w:t>
      </w:r>
    </w:p>
    <w:p w14:paraId="03F70734" w14:textId="3DACDC86" w:rsidR="0093615D" w:rsidRPr="0093615D" w:rsidRDefault="0093615D" w:rsidP="0093615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93615D">
        <w:rPr>
          <w:rFonts w:ascii="Times New Roman" w:hAnsi="Times New Roman" w:cs="Times New Roman"/>
          <w:sz w:val="24"/>
          <w:szCs w:val="24"/>
        </w:rPr>
        <w:t>A crise com Guedes foi aberta na esteira das discussões da chamada 'PEC Emergencial' depois que o ministro defendeu a vinculação, prevista no texto, entre decisões do Tribunal de Contas da União (TCU) e dos Tribunais de Contas dos Estados (</w:t>
      </w:r>
      <w:proofErr w:type="spellStart"/>
      <w:r w:rsidRPr="0093615D">
        <w:rPr>
          <w:rFonts w:ascii="Times New Roman" w:hAnsi="Times New Roman" w:cs="Times New Roman"/>
          <w:sz w:val="24"/>
          <w:szCs w:val="24"/>
        </w:rPr>
        <w:t>TCEs</w:t>
      </w:r>
      <w:proofErr w:type="spellEnd"/>
      <w:r w:rsidRPr="0093615D">
        <w:rPr>
          <w:rFonts w:ascii="Times New Roman" w:hAnsi="Times New Roman" w:cs="Times New Roman"/>
          <w:sz w:val="24"/>
          <w:szCs w:val="24"/>
        </w:rPr>
        <w:t>) relacionadas a contabilidade de gastos. Na avaliação do ministro</w:t>
      </w:r>
      <w:r w:rsidRPr="0093615D">
        <w:rPr>
          <w:rFonts w:ascii="Times New Roman" w:hAnsi="Times New Roman" w:cs="Times New Roman"/>
          <w:b/>
          <w:bCs/>
          <w:sz w:val="24"/>
          <w:szCs w:val="24"/>
          <w:u w:val="single"/>
        </w:rPr>
        <w:t>, crises financeiras de Estados e municípios tiveram como pano de fundo a 'contabilidade criativa' que maquiou gastos e permitiu a elevação de despesas quando a situação das contas já era delicada</w:t>
      </w:r>
      <w:r w:rsidRPr="009361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93615D">
        <w:rPr>
          <w:rFonts w:ascii="Times New Roman" w:hAnsi="Times New Roman" w:cs="Times New Roman"/>
          <w:sz w:val="24"/>
          <w:szCs w:val="24"/>
        </w:rPr>
        <w:t>https://www.correiobraziliense.com.br/economia/2021/03/4912533-apos-questionar-tribunais-de-contas-guedes-e-criticado-por-conselheiros.html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6D6CDD30" w14:textId="016C82C6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Sobressai a seção referente à transparência da gestão dos Tribunais de Contas. </w:t>
      </w:r>
      <w:r w:rsidR="0093615D">
        <w:rPr>
          <w:rFonts w:ascii="Times New Roman" w:hAnsi="Times New Roman" w:cs="Times New Roman"/>
          <w:sz w:val="28"/>
          <w:szCs w:val="28"/>
        </w:rPr>
        <w:t xml:space="preserve">Pela proposta, a </w:t>
      </w:r>
      <w:r w:rsidRPr="000E5BDE">
        <w:rPr>
          <w:rFonts w:ascii="Times New Roman" w:hAnsi="Times New Roman" w:cs="Times New Roman"/>
          <w:sz w:val="28"/>
          <w:szCs w:val="28"/>
        </w:rPr>
        <w:t xml:space="preserve">União </w:t>
      </w:r>
      <w:r>
        <w:rPr>
          <w:rFonts w:ascii="Times New Roman" w:hAnsi="Times New Roman" w:cs="Times New Roman"/>
          <w:sz w:val="28"/>
          <w:szCs w:val="28"/>
        </w:rPr>
        <w:t>deve</w:t>
      </w:r>
      <w:r w:rsidR="0093615D">
        <w:rPr>
          <w:rFonts w:ascii="Times New Roman" w:hAnsi="Times New Roman" w:cs="Times New Roman"/>
          <w:sz w:val="28"/>
          <w:szCs w:val="28"/>
        </w:rPr>
        <w:t>rá</w:t>
      </w:r>
      <w:r>
        <w:rPr>
          <w:rFonts w:ascii="Times New Roman" w:hAnsi="Times New Roman" w:cs="Times New Roman"/>
          <w:sz w:val="28"/>
          <w:szCs w:val="28"/>
        </w:rPr>
        <w:t xml:space="preserve"> instituir e manter </w:t>
      </w:r>
      <w:r w:rsidRPr="0093615D">
        <w:rPr>
          <w:rFonts w:ascii="Times New Roman" w:hAnsi="Times New Roman" w:cs="Times New Roman"/>
          <w:b/>
          <w:bCs/>
          <w:sz w:val="28"/>
          <w:szCs w:val="28"/>
        </w:rPr>
        <w:t>portal nacional de transparência e visibilidade dos Tribunais de Contas</w:t>
      </w:r>
      <w:r w:rsidRPr="000E5BDE">
        <w:rPr>
          <w:rFonts w:ascii="Times New Roman" w:hAnsi="Times New Roman" w:cs="Times New Roman"/>
          <w:sz w:val="28"/>
          <w:szCs w:val="28"/>
        </w:rPr>
        <w:t xml:space="preserve"> e dos Ministérios Públicos de Contas para registro </w:t>
      </w:r>
      <w:r>
        <w:rPr>
          <w:rFonts w:ascii="Times New Roman" w:hAnsi="Times New Roman" w:cs="Times New Roman"/>
          <w:sz w:val="28"/>
          <w:szCs w:val="28"/>
        </w:rPr>
        <w:t xml:space="preserve">não apenas das despesas dos referidos órgãos, mas das reclamações disciplinares às respectivas Corregedorias e dos relatórios e decisões e processos de controle externo. </w:t>
      </w:r>
    </w:p>
    <w:p w14:paraId="046E7519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manutenção do Portal dos Tribunais de Contas, é prevista a criação de um </w:t>
      </w:r>
      <w:r w:rsidRPr="0093615D">
        <w:rPr>
          <w:rFonts w:ascii="Times New Roman" w:hAnsi="Times New Roman" w:cs="Times New Roman"/>
          <w:b/>
          <w:bCs/>
          <w:sz w:val="28"/>
          <w:szCs w:val="28"/>
        </w:rPr>
        <w:t>Fundo Especial de Modernização dos Tribunais de Contas integrado das multas aplicadas e arrecadadas pelo TCU</w:t>
      </w:r>
      <w:r>
        <w:rPr>
          <w:rFonts w:ascii="Times New Roman" w:hAnsi="Times New Roman" w:cs="Times New Roman"/>
          <w:sz w:val="28"/>
          <w:szCs w:val="28"/>
        </w:rPr>
        <w:t xml:space="preserve">, dentre outros aportes da União e dos entes subnacionais. Junto ao Fundo, funcionará </w:t>
      </w:r>
      <w:r w:rsidRPr="000E5BDE">
        <w:rPr>
          <w:rFonts w:ascii="Times New Roman" w:hAnsi="Times New Roman" w:cs="Times New Roman"/>
          <w:sz w:val="28"/>
          <w:szCs w:val="28"/>
        </w:rPr>
        <w:t xml:space="preserve">um </w:t>
      </w:r>
      <w:r w:rsidRPr="0093615D">
        <w:rPr>
          <w:rFonts w:ascii="Times New Roman" w:hAnsi="Times New Roman" w:cs="Times New Roman"/>
          <w:b/>
          <w:bCs/>
          <w:sz w:val="28"/>
          <w:szCs w:val="28"/>
          <w:u w:val="single"/>
        </w:rPr>
        <w:t>Conselho Deliberativo</w:t>
      </w:r>
      <w:r>
        <w:rPr>
          <w:rFonts w:ascii="Times New Roman" w:hAnsi="Times New Roman" w:cs="Times New Roman"/>
          <w:sz w:val="28"/>
          <w:szCs w:val="28"/>
        </w:rPr>
        <w:t xml:space="preserve">, junto ao qual </w:t>
      </w:r>
      <w:r w:rsidRPr="000E5BDE">
        <w:rPr>
          <w:rFonts w:ascii="Times New Roman" w:hAnsi="Times New Roman" w:cs="Times New Roman"/>
          <w:sz w:val="28"/>
          <w:szCs w:val="28"/>
        </w:rPr>
        <w:lastRenderedPageBreak/>
        <w:t>funcionarão comitês técnicos, integrados por Auditores de Controle Externo e membros do Ministério Público de Contas, cuja composição e competências serão definidas no regulamento, assim como um comitê de controle social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3B5567" w14:textId="77777777" w:rsidR="0093615D" w:rsidRDefault="0093615D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222F9A" w14:textId="77777777" w:rsidR="0011527F" w:rsidRPr="001B3CB4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B3CB4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Fiscalização Financeira pelo Ministério Público de Contas</w:t>
      </w:r>
    </w:p>
    <w:p w14:paraId="512C797C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O Ministério Público de Contas que atua junto ao Tribunal de Contas constituirá, necessariamente, unidade orçamentária específica e unidade gestora nos orçamentos da União, dos Estados, do Distrito Federal e dos Municípios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5BDE">
        <w:rPr>
          <w:rFonts w:ascii="Times New Roman" w:hAnsi="Times New Roman" w:cs="Times New Roman"/>
          <w:sz w:val="28"/>
          <w:szCs w:val="28"/>
        </w:rPr>
        <w:t>onde houver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5BDE">
        <w:rPr>
          <w:rFonts w:ascii="Times New Roman" w:hAnsi="Times New Roman" w:cs="Times New Roman"/>
          <w:sz w:val="28"/>
          <w:szCs w:val="28"/>
        </w:rPr>
        <w:t>, para fins de controle público e social.</w:t>
      </w:r>
    </w:p>
    <w:p w14:paraId="323D6F47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0E5BDE">
        <w:rPr>
          <w:rFonts w:ascii="Times New Roman" w:hAnsi="Times New Roman" w:cs="Times New Roman"/>
          <w:sz w:val="28"/>
          <w:szCs w:val="28"/>
        </w:rPr>
        <w:t xml:space="preserve"> Ministério Público junto ao Tribunal de Contas </w:t>
      </w:r>
      <w:r>
        <w:rPr>
          <w:rFonts w:ascii="Times New Roman" w:hAnsi="Times New Roman" w:cs="Times New Roman"/>
          <w:sz w:val="28"/>
          <w:szCs w:val="28"/>
        </w:rPr>
        <w:t>do Estado deverá emitir parecer necessário no processo de julgamento de contas enquanto o Tribunal de Contas do Rio de Janeiro e São Paulo não instalarem o respectivo Ministério Público especial.  A proposta visa garantir a participação do fiscal da lei em todo processo de julgamento de contas, de forma a democratizar o processo de controle externo.</w:t>
      </w:r>
    </w:p>
    <w:p w14:paraId="79E2B97A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F2707D" w14:textId="77777777" w:rsidR="0011527F" w:rsidRPr="001B3CB4" w:rsidRDefault="0011527F" w:rsidP="0011527F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B3CB4">
        <w:rPr>
          <w:rFonts w:ascii="Times New Roman" w:hAnsi="Times New Roman" w:cs="Times New Roman"/>
          <w:b/>
          <w:bCs/>
          <w:color w:val="002060"/>
          <w:sz w:val="32"/>
          <w:szCs w:val="32"/>
        </w:rPr>
        <w:t>Eixo das Disposições Transitórias e Finais</w:t>
      </w:r>
    </w:p>
    <w:p w14:paraId="7D05EFFA" w14:textId="03B8EC50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Tribunais de Contas estaduais, distrital e municipais deverão se ajustar às nor</w:t>
      </w:r>
      <w:r w:rsidR="001B3CB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as gerais de fiscalização financeira em 24 meses. O TCU, por sua vez, deverá encaminhar, em 180 dias, projeto de lei para estabelecer normas gerais do </w:t>
      </w:r>
      <w:r w:rsidRPr="00352E26">
        <w:rPr>
          <w:rFonts w:ascii="Times New Roman" w:hAnsi="Times New Roman" w:cs="Times New Roman"/>
          <w:sz w:val="28"/>
          <w:szCs w:val="28"/>
        </w:rPr>
        <w:t xml:space="preserve">processo de controle externo nos Tribunais de Contas, com a finalidade de </w:t>
      </w:r>
      <w:r w:rsidRPr="001B3CB4">
        <w:rPr>
          <w:rFonts w:ascii="Times New Roman" w:hAnsi="Times New Roman" w:cs="Times New Roman"/>
          <w:b/>
          <w:bCs/>
          <w:sz w:val="28"/>
          <w:szCs w:val="28"/>
        </w:rPr>
        <w:t>assegurar a uniformização dos procedimentos de fiscalização financeira</w:t>
      </w:r>
      <w:r w:rsidRPr="00352E26">
        <w:rPr>
          <w:rFonts w:ascii="Times New Roman" w:hAnsi="Times New Roman" w:cs="Times New Roman"/>
          <w:sz w:val="28"/>
          <w:szCs w:val="28"/>
        </w:rPr>
        <w:t xml:space="preserve"> dos órgãos e entidades da administração direta e indireta da União, dos Estados, do Distrito Federal e dos Municípios, notadamente sobre a fiscalização de políticas públicas financiadas por mais de um ente da Federação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445D3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proposta deve contemplar, ainda, padrão de governança para os Tribunais de Contas e normas gerais de </w:t>
      </w:r>
      <w:r w:rsidRPr="00352E26">
        <w:rPr>
          <w:rFonts w:ascii="Times New Roman" w:hAnsi="Times New Roman" w:cs="Times New Roman"/>
          <w:sz w:val="28"/>
          <w:szCs w:val="28"/>
        </w:rPr>
        <w:t xml:space="preserve">fiscalização financeira, gestão de riscos, avaliação da gestão (asseguração) e atuação do controle interno em apoio ao controle externo da administração pública direta e indireta da União, dos Estados, do Distrito Federal e dos Municípios, nos termos dos </w:t>
      </w:r>
      <w:proofErr w:type="spellStart"/>
      <w:r w:rsidRPr="00352E2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352E26">
        <w:rPr>
          <w:rFonts w:ascii="Times New Roman" w:hAnsi="Times New Roman" w:cs="Times New Roman"/>
          <w:sz w:val="28"/>
          <w:szCs w:val="28"/>
        </w:rPr>
        <w:t>. 70 e 74 da Constituição Federal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87A12B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Proíbe que </w:t>
      </w:r>
      <w:r w:rsidRPr="00352E26">
        <w:rPr>
          <w:rFonts w:ascii="Times New Roman" w:hAnsi="Times New Roman" w:cs="Times New Roman"/>
          <w:sz w:val="28"/>
          <w:szCs w:val="28"/>
        </w:rPr>
        <w:t xml:space="preserve">Ministros e Conselheiros, titulares e substitutos, Procuradores de Contas e Auditores de Controle Externo dos Tribunais de Contas </w:t>
      </w:r>
      <w:r>
        <w:rPr>
          <w:rFonts w:ascii="Times New Roman" w:hAnsi="Times New Roman" w:cs="Times New Roman"/>
          <w:sz w:val="28"/>
          <w:szCs w:val="28"/>
        </w:rPr>
        <w:t xml:space="preserve">possam </w:t>
      </w:r>
      <w:r w:rsidRPr="00352E26">
        <w:rPr>
          <w:rFonts w:ascii="Times New Roman" w:hAnsi="Times New Roman" w:cs="Times New Roman"/>
          <w:sz w:val="28"/>
          <w:szCs w:val="28"/>
        </w:rPr>
        <w:t xml:space="preserve">exercer a advocacia no respectivo Tribunal e </w:t>
      </w:r>
      <w:r w:rsidRPr="00352E26">
        <w:rPr>
          <w:rFonts w:ascii="Times New Roman" w:hAnsi="Times New Roman" w:cs="Times New Roman"/>
          <w:b/>
          <w:bCs/>
          <w:sz w:val="28"/>
          <w:szCs w:val="28"/>
        </w:rPr>
        <w:t>ocupar cargo em comissão em órgãos e entidades jurisdicionados do Tribunal</w:t>
      </w:r>
      <w:r w:rsidRPr="00352E26">
        <w:rPr>
          <w:rFonts w:ascii="Times New Roman" w:hAnsi="Times New Roman" w:cs="Times New Roman"/>
          <w:sz w:val="28"/>
          <w:szCs w:val="28"/>
        </w:rPr>
        <w:t xml:space="preserve"> antes de decorridos </w:t>
      </w:r>
      <w:r>
        <w:rPr>
          <w:rFonts w:ascii="Times New Roman" w:hAnsi="Times New Roman" w:cs="Times New Roman"/>
          <w:sz w:val="28"/>
          <w:szCs w:val="28"/>
        </w:rPr>
        <w:t>3 (</w:t>
      </w:r>
      <w:r w:rsidRPr="00352E26">
        <w:rPr>
          <w:rFonts w:ascii="Times New Roman" w:hAnsi="Times New Roman" w:cs="Times New Roman"/>
          <w:sz w:val="28"/>
          <w:szCs w:val="28"/>
        </w:rPr>
        <w:t>três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2E26">
        <w:rPr>
          <w:rFonts w:ascii="Times New Roman" w:hAnsi="Times New Roman" w:cs="Times New Roman"/>
          <w:sz w:val="28"/>
          <w:szCs w:val="28"/>
        </w:rPr>
        <w:t xml:space="preserve"> anos contados do afastamento do respectivo cargo por motivo de aposentadoria ou exoneração a pedido.</w:t>
      </w:r>
    </w:p>
    <w:p w14:paraId="4F3ECF94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Prevê a criação do </w:t>
      </w:r>
      <w:r w:rsidRPr="00352E26">
        <w:rPr>
          <w:rFonts w:ascii="Times New Roman" w:hAnsi="Times New Roman" w:cs="Times New Roman"/>
          <w:sz w:val="28"/>
          <w:szCs w:val="28"/>
        </w:rPr>
        <w:t xml:space="preserve">Colégio Nacional dos Presidentes dos Tribunais de Contas, presidido pelo Tribunal de Contas da União,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352E26">
        <w:rPr>
          <w:rFonts w:ascii="Times New Roman" w:hAnsi="Times New Roman" w:cs="Times New Roman"/>
          <w:sz w:val="28"/>
          <w:szCs w:val="28"/>
        </w:rPr>
        <w:t xml:space="preserve"> Colégio Nacional dos Auditores de Controle Externo</w:t>
      </w:r>
      <w:r>
        <w:rPr>
          <w:rFonts w:ascii="Times New Roman" w:hAnsi="Times New Roman" w:cs="Times New Roman"/>
          <w:sz w:val="28"/>
          <w:szCs w:val="28"/>
        </w:rPr>
        <w:t xml:space="preserve"> para questões deliberativas, dentre outras medidas.</w:t>
      </w:r>
    </w:p>
    <w:p w14:paraId="37AE3C41" w14:textId="77777777" w:rsidR="0011527F" w:rsidRDefault="0011527F" w:rsidP="001152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A4F6BE" w14:textId="643F1DD5" w:rsidR="004A2E1B" w:rsidRPr="00C30336" w:rsidRDefault="004A2E1B" w:rsidP="00545AEE">
      <w:pPr>
        <w:tabs>
          <w:tab w:val="left" w:pos="3744"/>
        </w:tabs>
        <w:jc w:val="center"/>
        <w:rPr>
          <w:rFonts w:ascii="Garamond" w:hAnsi="Garamond"/>
        </w:rPr>
      </w:pPr>
      <w:r w:rsidRPr="00C30336">
        <w:rPr>
          <w:rFonts w:ascii="Garamond" w:hAnsi="Garamond"/>
          <w:noProof/>
          <w:lang w:eastAsia="pt-BR"/>
        </w:rPr>
        <w:drawing>
          <wp:inline distT="0" distB="0" distL="0" distR="0" wp14:anchorId="64685B1B" wp14:editId="789205E2">
            <wp:extent cx="5796779" cy="2004060"/>
            <wp:effectExtent l="0" t="0" r="0" b="0"/>
            <wp:docPr id="72" name="Imagem 72" descr="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m 72" descr="Forma&#10;&#10;Descrição gerada automa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26" b="19419"/>
                    <a:stretch/>
                  </pic:blipFill>
                  <pic:spPr bwMode="auto">
                    <a:xfrm>
                      <a:off x="0" y="0"/>
                      <a:ext cx="5859405" cy="202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2E1B" w:rsidRPr="00C30336" w:rsidSect="0011527F">
      <w:headerReference w:type="default" r:id="rId13"/>
      <w:pgSz w:w="11906" w:h="16838" w:code="9"/>
      <w:pgMar w:top="2268" w:right="849" w:bottom="1134" w:left="1276" w:header="283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2709" w14:textId="77777777" w:rsidR="00FF0A75" w:rsidRDefault="00FF0A75" w:rsidP="009A79CE">
      <w:pPr>
        <w:spacing w:after="0" w:line="240" w:lineRule="auto"/>
      </w:pPr>
      <w:r>
        <w:separator/>
      </w:r>
    </w:p>
  </w:endnote>
  <w:endnote w:type="continuationSeparator" w:id="0">
    <w:p w14:paraId="014F258A" w14:textId="77777777" w:rsidR="00FF0A75" w:rsidRDefault="00FF0A75" w:rsidP="009A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395D" w14:textId="77777777" w:rsidR="00FF0A75" w:rsidRDefault="00FF0A75" w:rsidP="009A79CE">
      <w:pPr>
        <w:spacing w:after="0" w:line="240" w:lineRule="auto"/>
      </w:pPr>
      <w:r>
        <w:separator/>
      </w:r>
    </w:p>
  </w:footnote>
  <w:footnote w:type="continuationSeparator" w:id="0">
    <w:p w14:paraId="54038782" w14:textId="77777777" w:rsidR="00FF0A75" w:rsidRDefault="00FF0A75" w:rsidP="009A79CE">
      <w:pPr>
        <w:spacing w:after="0" w:line="240" w:lineRule="auto"/>
      </w:pPr>
      <w:r>
        <w:continuationSeparator/>
      </w:r>
    </w:p>
  </w:footnote>
  <w:footnote w:id="1">
    <w:p w14:paraId="2DFC7670" w14:textId="73B0E49E" w:rsidR="0011527F" w:rsidRDefault="0011527F" w:rsidP="0011527F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11527F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11527F">
        <w:rPr>
          <w:rFonts w:ascii="Times New Roman" w:hAnsi="Times New Roman" w:cs="Times New Roman"/>
          <w:sz w:val="18"/>
          <w:szCs w:val="18"/>
        </w:rPr>
        <w:t xml:space="preserve"> </w:t>
      </w:r>
      <w:r w:rsidRPr="0011527F">
        <w:rPr>
          <w:rFonts w:ascii="Times New Roman" w:hAnsi="Times New Roman" w:cs="Times New Roman"/>
          <w:b/>
          <w:bCs/>
          <w:sz w:val="18"/>
          <w:szCs w:val="18"/>
        </w:rPr>
        <w:t>EC 103/2019:</w:t>
      </w:r>
      <w:r w:rsidRPr="0011527F">
        <w:rPr>
          <w:rFonts w:ascii="Times New Roman" w:hAnsi="Times New Roman" w:cs="Times New Roman"/>
          <w:sz w:val="18"/>
          <w:szCs w:val="18"/>
        </w:rPr>
        <w:t xml:space="preserve"> “</w:t>
      </w:r>
      <w:r w:rsidRPr="0011527F">
        <w:rPr>
          <w:rFonts w:ascii="Times New Roman" w:hAnsi="Times New Roman" w:cs="Times New Roman"/>
          <w:color w:val="000000"/>
          <w:sz w:val="18"/>
          <w:szCs w:val="18"/>
        </w:rPr>
        <w:t xml:space="preserve">Art. 12. A União instituirá </w:t>
      </w:r>
      <w:r w:rsidRPr="001152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sistema integrado de dados relativos às remunerações</w:t>
      </w:r>
      <w:r w:rsidRPr="0011527F">
        <w:rPr>
          <w:rFonts w:ascii="Times New Roman" w:hAnsi="Times New Roman" w:cs="Times New Roman"/>
          <w:color w:val="000000"/>
          <w:sz w:val="18"/>
          <w:szCs w:val="18"/>
        </w:rPr>
        <w:t>, proventos e pensões dos segurados dos regimes de previdência de que tratam os </w:t>
      </w:r>
      <w:proofErr w:type="spellStart"/>
      <w:r w:rsidRPr="0011527F">
        <w:rPr>
          <w:rFonts w:ascii="Times New Roman" w:hAnsi="Times New Roman" w:cs="Times New Roman"/>
          <w:sz w:val="18"/>
          <w:szCs w:val="18"/>
        </w:rPr>
        <w:fldChar w:fldCharType="begin"/>
      </w:r>
      <w:r w:rsidRPr="0011527F">
        <w:rPr>
          <w:rFonts w:ascii="Times New Roman" w:hAnsi="Times New Roman" w:cs="Times New Roman"/>
          <w:sz w:val="18"/>
          <w:szCs w:val="18"/>
        </w:rPr>
        <w:instrText xml:space="preserve"> HYPERLINK "http://www.planalto.gov.br/ccivil_03/constituicao/Constituicao.htm" \l "art40.0" </w:instrText>
      </w:r>
      <w:r w:rsidRPr="0011527F">
        <w:rPr>
          <w:rFonts w:ascii="Times New Roman" w:hAnsi="Times New Roman" w:cs="Times New Roman"/>
          <w:sz w:val="18"/>
          <w:szCs w:val="18"/>
        </w:rPr>
        <w:fldChar w:fldCharType="separate"/>
      </w:r>
      <w:r w:rsidRPr="0011527F">
        <w:rPr>
          <w:rStyle w:val="Hyperlink"/>
          <w:rFonts w:ascii="Times New Roman" w:hAnsi="Times New Roman" w:cs="Times New Roman"/>
          <w:sz w:val="18"/>
          <w:szCs w:val="18"/>
        </w:rPr>
        <w:t>arts</w:t>
      </w:r>
      <w:proofErr w:type="spellEnd"/>
      <w:r w:rsidRPr="0011527F">
        <w:rPr>
          <w:rStyle w:val="Hyperlink"/>
          <w:rFonts w:ascii="Times New Roman" w:hAnsi="Times New Roman" w:cs="Times New Roman"/>
          <w:sz w:val="18"/>
          <w:szCs w:val="18"/>
        </w:rPr>
        <w:t>. 40</w:t>
      </w:r>
      <w:r w:rsidRPr="0011527F">
        <w:rPr>
          <w:rFonts w:ascii="Times New Roman" w:hAnsi="Times New Roman" w:cs="Times New Roman"/>
          <w:sz w:val="18"/>
          <w:szCs w:val="18"/>
        </w:rPr>
        <w:fldChar w:fldCharType="end"/>
      </w:r>
      <w:r w:rsidRPr="0011527F">
        <w:rPr>
          <w:rFonts w:ascii="Times New Roman" w:hAnsi="Times New Roman" w:cs="Times New Roman"/>
          <w:color w:val="000000"/>
          <w:sz w:val="18"/>
          <w:szCs w:val="18"/>
        </w:rPr>
        <w:t>, </w:t>
      </w:r>
      <w:hyperlink r:id="rId1" w:anchor="art201.0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201 </w:t>
        </w:r>
      </w:hyperlink>
      <w:r w:rsidRPr="0011527F">
        <w:rPr>
          <w:rFonts w:ascii="Times New Roman" w:hAnsi="Times New Roman" w:cs="Times New Roman"/>
          <w:color w:val="000000"/>
          <w:sz w:val="18"/>
          <w:szCs w:val="18"/>
        </w:rPr>
        <w:t>e </w:t>
      </w:r>
      <w:hyperlink r:id="rId2" w:anchor="art202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202 da Constituição Federal</w:t>
        </w:r>
      </w:hyperlink>
      <w:r w:rsidRPr="0011527F">
        <w:rPr>
          <w:rFonts w:ascii="Times New Roman" w:hAnsi="Times New Roman" w:cs="Times New Roman"/>
          <w:color w:val="000000"/>
          <w:sz w:val="18"/>
          <w:szCs w:val="18"/>
        </w:rPr>
        <w:t>, aos benefícios dos programas de assistência social de que trata o </w:t>
      </w:r>
      <w:hyperlink r:id="rId3" w:anchor="art203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art. 203 da Constituição Federal</w:t>
        </w:r>
      </w:hyperlink>
      <w:r w:rsidRPr="0011527F">
        <w:rPr>
          <w:rFonts w:ascii="Times New Roman" w:hAnsi="Times New Roman" w:cs="Times New Roman"/>
          <w:color w:val="000000"/>
          <w:sz w:val="18"/>
          <w:szCs w:val="18"/>
        </w:rPr>
        <w:t> e às remunerações, proventos de inatividade e pensão por morte decorrentes das atividades militares de que tratam os </w:t>
      </w:r>
      <w:proofErr w:type="spellStart"/>
      <w:r w:rsidRPr="0011527F">
        <w:rPr>
          <w:rFonts w:ascii="Times New Roman" w:hAnsi="Times New Roman" w:cs="Times New Roman"/>
          <w:sz w:val="18"/>
          <w:szCs w:val="18"/>
        </w:rPr>
        <w:fldChar w:fldCharType="begin"/>
      </w:r>
      <w:r w:rsidRPr="0011527F">
        <w:rPr>
          <w:rFonts w:ascii="Times New Roman" w:hAnsi="Times New Roman" w:cs="Times New Roman"/>
          <w:sz w:val="18"/>
          <w:szCs w:val="18"/>
        </w:rPr>
        <w:instrText xml:space="preserve"> HYPERLINK "http://www.planalto.gov.br/ccivil_03/constituicao/Constituicao.htm" \l "art42" </w:instrText>
      </w:r>
      <w:r w:rsidRPr="0011527F">
        <w:rPr>
          <w:rFonts w:ascii="Times New Roman" w:hAnsi="Times New Roman" w:cs="Times New Roman"/>
          <w:sz w:val="18"/>
          <w:szCs w:val="18"/>
        </w:rPr>
        <w:fldChar w:fldCharType="separate"/>
      </w:r>
      <w:r w:rsidRPr="0011527F">
        <w:rPr>
          <w:rStyle w:val="Hyperlink"/>
          <w:rFonts w:ascii="Times New Roman" w:hAnsi="Times New Roman" w:cs="Times New Roman"/>
          <w:sz w:val="18"/>
          <w:szCs w:val="18"/>
        </w:rPr>
        <w:t>arts</w:t>
      </w:r>
      <w:proofErr w:type="spellEnd"/>
      <w:r w:rsidRPr="0011527F">
        <w:rPr>
          <w:rStyle w:val="Hyperlink"/>
          <w:rFonts w:ascii="Times New Roman" w:hAnsi="Times New Roman" w:cs="Times New Roman"/>
          <w:sz w:val="18"/>
          <w:szCs w:val="18"/>
        </w:rPr>
        <w:t>. 42</w:t>
      </w:r>
      <w:r w:rsidRPr="0011527F">
        <w:rPr>
          <w:rFonts w:ascii="Times New Roman" w:hAnsi="Times New Roman" w:cs="Times New Roman"/>
          <w:sz w:val="18"/>
          <w:szCs w:val="18"/>
        </w:rPr>
        <w:fldChar w:fldCharType="end"/>
      </w:r>
      <w:r w:rsidRPr="0011527F">
        <w:rPr>
          <w:rFonts w:ascii="Times New Roman" w:hAnsi="Times New Roman" w:cs="Times New Roman"/>
          <w:color w:val="000000"/>
          <w:sz w:val="18"/>
          <w:szCs w:val="18"/>
        </w:rPr>
        <w:t> e </w:t>
      </w:r>
      <w:hyperlink r:id="rId4" w:anchor="art142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142 da Constituição Federal</w:t>
        </w:r>
      </w:hyperlink>
      <w:r w:rsidRPr="0011527F">
        <w:rPr>
          <w:rFonts w:ascii="Times New Roman" w:hAnsi="Times New Roman" w:cs="Times New Roman"/>
          <w:color w:val="000000"/>
          <w:sz w:val="18"/>
          <w:szCs w:val="18"/>
        </w:rPr>
        <w:t>, em interação com outras bases de dados, ferramentas e plataformas, para o fortalecimento de sua gestão, governança e transparência e o cumprimento das disposições estabelecidas nos </w:t>
      </w:r>
      <w:hyperlink r:id="rId5" w:anchor="art37xi.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incisos XI </w:t>
        </w:r>
      </w:hyperlink>
      <w:r w:rsidRPr="0011527F">
        <w:rPr>
          <w:rFonts w:ascii="Times New Roman" w:hAnsi="Times New Roman" w:cs="Times New Roman"/>
          <w:color w:val="000000"/>
          <w:sz w:val="18"/>
          <w:szCs w:val="18"/>
        </w:rPr>
        <w:t>e </w:t>
      </w:r>
      <w:hyperlink r:id="rId6" w:anchor="art37xvi" w:history="1">
        <w:r w:rsidRPr="0011527F">
          <w:rPr>
            <w:rStyle w:val="Hyperlink"/>
            <w:rFonts w:ascii="Times New Roman" w:hAnsi="Times New Roman" w:cs="Times New Roman"/>
            <w:sz w:val="18"/>
            <w:szCs w:val="18"/>
          </w:rPr>
          <w:t>XVI do art. 37 da Constituição Federal.</w:t>
        </w:r>
      </w:hyperlink>
    </w:p>
    <w:p w14:paraId="643F7BE8" w14:textId="0D6BB6E4" w:rsidR="0011527F" w:rsidRPr="0011527F" w:rsidRDefault="0011527F" w:rsidP="0011527F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11527F">
        <w:rPr>
          <w:rFonts w:ascii="Times New Roman" w:hAnsi="Times New Roman" w:cs="Times New Roman"/>
          <w:color w:val="000000"/>
          <w:sz w:val="18"/>
          <w:szCs w:val="18"/>
        </w:rPr>
        <w:t xml:space="preserve">§ 1º A União, os Estados, o Distrito Federal e os Municípios e os órgãos e entidades gestoras dos regimes, dos </w:t>
      </w:r>
      <w:r w:rsidRPr="0011527F">
        <w:rPr>
          <w:rFonts w:ascii="Times New Roman" w:hAnsi="Times New Roman" w:cs="Times New Roman"/>
          <w:b/>
          <w:bCs/>
          <w:color w:val="000000"/>
          <w:sz w:val="18"/>
          <w:szCs w:val="18"/>
        </w:rPr>
        <w:t>sistemas e dos programas a que se refere o caput disponibilizarão as informações necessárias para a estruturação do sistema integrado</w:t>
      </w:r>
      <w:r w:rsidRPr="0011527F">
        <w:rPr>
          <w:rFonts w:ascii="Times New Roman" w:hAnsi="Times New Roman" w:cs="Times New Roman"/>
          <w:color w:val="000000"/>
          <w:sz w:val="18"/>
          <w:szCs w:val="18"/>
        </w:rPr>
        <w:t xml:space="preserve"> de dados e terão acesso ao compartilhamento das referidas informações, na forma da legislação.</w:t>
      </w:r>
      <w:r>
        <w:rPr>
          <w:rFonts w:ascii="Times New Roman" w:hAnsi="Times New Roman" w:cs="Times New Roman"/>
          <w:color w:val="000000"/>
          <w:sz w:val="18"/>
          <w:szCs w:val="18"/>
        </w:rPr>
        <w:t>”</w:t>
      </w:r>
    </w:p>
  </w:footnote>
  <w:footnote w:id="2">
    <w:p w14:paraId="6377984A" w14:textId="5E1F588F" w:rsidR="00756140" w:rsidRPr="00756140" w:rsidRDefault="00756140" w:rsidP="00756140">
      <w:pPr>
        <w:pStyle w:val="NormalWeb"/>
        <w:spacing w:before="120" w:beforeAutospacing="0" w:after="120" w:afterAutospacing="0"/>
        <w:jc w:val="both"/>
        <w:rPr>
          <w:color w:val="393230"/>
          <w:sz w:val="18"/>
          <w:szCs w:val="18"/>
        </w:rPr>
      </w:pPr>
      <w:r w:rsidRPr="00756140">
        <w:rPr>
          <w:rStyle w:val="Refdenotaderodap"/>
          <w:sz w:val="18"/>
          <w:szCs w:val="18"/>
        </w:rPr>
        <w:footnoteRef/>
      </w:r>
      <w:r w:rsidRPr="00756140"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 w:rsidRPr="00756140">
        <w:rPr>
          <w:color w:val="393230"/>
          <w:sz w:val="18"/>
          <w:szCs w:val="18"/>
        </w:rPr>
        <w:t>O ministro ressaltou uma questão relevante, referente às possibilidades de avanço na transparência ativa, comparabilidade e rastreabilidade da aplicação dessas verbas de natureza federal, tal como passou a exigir o art. 163-A da Constituição Federal.</w:t>
      </w:r>
    </w:p>
    <w:p w14:paraId="7E1A389A" w14:textId="77777777" w:rsidR="00756140" w:rsidRPr="00756140" w:rsidRDefault="00756140" w:rsidP="007561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</w:pP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“As 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u w:val="single"/>
          <w:lang w:eastAsia="pt-BR"/>
        </w:rPr>
        <w:t>normas infralegais editadas pelo Ministério da Economia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, porém, 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u w:val="single"/>
          <w:lang w:eastAsia="pt-BR"/>
        </w:rPr>
        <w:t>restringem o uso de importantes ferramentas tecnológicas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 - como a 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lang w:eastAsia="pt-BR"/>
        </w:rPr>
        <w:t xml:space="preserve">Plataforma +Brasil e o </w:t>
      </w:r>
      <w:proofErr w:type="spellStart"/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lang w:eastAsia="pt-BR"/>
        </w:rPr>
        <w:t>ComprasNet</w:t>
      </w:r>
      <w:proofErr w:type="spellEnd"/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 - ao acompanhamento das 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u w:val="single"/>
          <w:lang w:eastAsia="pt-BR"/>
        </w:rPr>
        <w:t>transferências voluntárias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, deixando à margem de qualquer monitoramento e avaliação por instrumentos racionais os recursos de natureza federal repassados segundo critérios objetivos que os classificam como 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u w:val="single"/>
          <w:lang w:eastAsia="pt-BR"/>
        </w:rPr>
        <w:t>transferência obrigatória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>, ainda que constituam a maior parte dos repasses federais nas áreas de saúde, educação e assistência social”, comentou o relator.</w:t>
      </w:r>
    </w:p>
    <w:p w14:paraId="4EFA7776" w14:textId="7360D3CE" w:rsidR="00756140" w:rsidRPr="00756140" w:rsidRDefault="00756140" w:rsidP="007561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</w:pP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>Segundo ele, “a omissão do Poder Executivo em adotar as ferramentas tecnológicas disponíveis para monitorar a aplicação dos recursos federais, repassados a título de transferência obrigatória, enseja a expedição de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lang w:eastAsia="pt-BR"/>
        </w:rPr>
        <w:t> recomendação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> para adoção de medidas visando a </w:t>
      </w:r>
      <w:r w:rsidRPr="00756140">
        <w:rPr>
          <w:rFonts w:ascii="Times New Roman" w:eastAsia="Times New Roman" w:hAnsi="Times New Roman" w:cs="Times New Roman"/>
          <w:b/>
          <w:bCs/>
          <w:color w:val="393230"/>
          <w:sz w:val="18"/>
          <w:szCs w:val="18"/>
          <w:lang w:eastAsia="pt-BR"/>
        </w:rPr>
        <w:t>garantir a rastreabilidade, a comparabilidade e a publicidade dos dados</w:t>
      </w:r>
      <w:r w:rsidRPr="00756140"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> decorrentes da efetiva aplicação dos recursos de natureza federal, com a necessária identificação do credor final, seja nas transferências voluntárias, seja nas obrigatórias, salvo naquelas em que não se mantém a natureza federal do recurso”.</w:t>
      </w:r>
      <w:r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 Disponível em: </w:t>
      </w:r>
      <w:hyperlink r:id="rId7" w:history="1">
        <w:r w:rsidRPr="006A3EA0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pt-BR"/>
          </w:rPr>
          <w:t>https://portal.tcu.gov.br/imprensa/noticias/parecer-previo-do-tcu-propoe-aprovacao-com-ressalvas-das-contas-do-presidente-da-republica-8A81881E79E7B55B017A5ED46C616BC0.htm</w:t>
        </w:r>
      </w:hyperlink>
      <w:r>
        <w:rPr>
          <w:rFonts w:ascii="Times New Roman" w:eastAsia="Times New Roman" w:hAnsi="Times New Roman" w:cs="Times New Roman"/>
          <w:color w:val="393230"/>
          <w:sz w:val="18"/>
          <w:szCs w:val="18"/>
          <w:lang w:eastAsia="pt-BR"/>
        </w:rPr>
        <w:t xml:space="preserve"> </w:t>
      </w:r>
    </w:p>
    <w:p w14:paraId="559B0996" w14:textId="79C5CC18" w:rsidR="00756140" w:rsidRDefault="00756140">
      <w:pPr>
        <w:pStyle w:val="Textodenotaderodap"/>
      </w:pPr>
    </w:p>
  </w:footnote>
  <w:footnote w:id="3">
    <w:p w14:paraId="26BBA6BB" w14:textId="77777777" w:rsidR="0093615D" w:rsidRPr="001B3CB4" w:rsidRDefault="0093615D" w:rsidP="0093615D">
      <w:pPr>
        <w:pStyle w:val="Ttulo1"/>
        <w:shd w:val="clear" w:color="auto" w:fill="FFFFFF" w:themeFill="background1"/>
        <w:spacing w:before="0"/>
        <w:ind w:left="0"/>
        <w:rPr>
          <w:color w:val="434343"/>
          <w:sz w:val="18"/>
          <w:szCs w:val="18"/>
        </w:rPr>
      </w:pPr>
      <w:r w:rsidRPr="001B3CB4">
        <w:rPr>
          <w:rStyle w:val="Refdenotaderodap"/>
          <w:sz w:val="18"/>
          <w:szCs w:val="18"/>
        </w:rPr>
        <w:footnoteRef/>
      </w:r>
      <w:r w:rsidRPr="001B3CB4">
        <w:rPr>
          <w:sz w:val="18"/>
          <w:szCs w:val="18"/>
        </w:rPr>
        <w:t xml:space="preserve"> </w:t>
      </w:r>
      <w:r w:rsidRPr="001B3CB4">
        <w:rPr>
          <w:color w:val="434343"/>
          <w:sz w:val="18"/>
          <w:szCs w:val="18"/>
        </w:rPr>
        <w:t>MINISTRO PAULO GUEDES DEFENDE PADRONIZAÇÃO DOS TRIBUNAIS DE CONTAS</w:t>
      </w:r>
    </w:p>
    <w:p w14:paraId="07F82B27" w14:textId="77777777" w:rsidR="0093615D" w:rsidRDefault="0093615D" w:rsidP="0093615D">
      <w:pPr>
        <w:pStyle w:val="Textodenotaderodap"/>
        <w:shd w:val="clear" w:color="auto" w:fill="FFFFFF" w:themeFill="background1"/>
      </w:pPr>
      <w:r w:rsidRPr="001B3CB4">
        <w:rPr>
          <w:rFonts w:ascii="Times New Roman" w:hAnsi="Times New Roman" w:cs="Times New Roman"/>
          <w:sz w:val="18"/>
          <w:szCs w:val="18"/>
          <w:lang w:val="pt-PT"/>
        </w:rPr>
        <w:t xml:space="preserve">: </w:t>
      </w:r>
      <w:r w:rsidRPr="001B3CB4">
        <w:rPr>
          <w:rFonts w:ascii="Times New Roman" w:hAnsi="Times New Roman" w:cs="Times New Roman"/>
          <w:sz w:val="18"/>
          <w:szCs w:val="18"/>
        </w:rPr>
        <w:t>https://www.antcbrasil.org.br/comunicacao/noticias-da-antc/734-MINISTRO-PAULO-GUEDES-DEFENDE-PADRONIZACAO-DOS-TRIBUNAIS-DE-CONTAS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CB2D" w14:textId="29A94E61" w:rsidR="009A79CE" w:rsidRDefault="00404F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3098A2" wp14:editId="3CF02D71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558797" cy="10692000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9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46D64"/>
    <w:multiLevelType w:val="hybridMultilevel"/>
    <w:tmpl w:val="B18A9338"/>
    <w:lvl w:ilvl="0" w:tplc="2CBCA984">
      <w:start w:val="1"/>
      <w:numFmt w:val="decimal"/>
      <w:lvlText w:val="%1)"/>
      <w:lvlJc w:val="left"/>
      <w:pPr>
        <w:ind w:left="6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3" w:hanging="360"/>
      </w:pPr>
    </w:lvl>
    <w:lvl w:ilvl="2" w:tplc="0416001B" w:tentative="1">
      <w:start w:val="1"/>
      <w:numFmt w:val="lowerRoman"/>
      <w:lvlText w:val="%3."/>
      <w:lvlJc w:val="right"/>
      <w:pPr>
        <w:ind w:left="2123" w:hanging="180"/>
      </w:pPr>
    </w:lvl>
    <w:lvl w:ilvl="3" w:tplc="0416000F" w:tentative="1">
      <w:start w:val="1"/>
      <w:numFmt w:val="decimal"/>
      <w:lvlText w:val="%4."/>
      <w:lvlJc w:val="left"/>
      <w:pPr>
        <w:ind w:left="2843" w:hanging="360"/>
      </w:pPr>
    </w:lvl>
    <w:lvl w:ilvl="4" w:tplc="04160019" w:tentative="1">
      <w:start w:val="1"/>
      <w:numFmt w:val="lowerLetter"/>
      <w:lvlText w:val="%5."/>
      <w:lvlJc w:val="left"/>
      <w:pPr>
        <w:ind w:left="3563" w:hanging="360"/>
      </w:pPr>
    </w:lvl>
    <w:lvl w:ilvl="5" w:tplc="0416001B" w:tentative="1">
      <w:start w:val="1"/>
      <w:numFmt w:val="lowerRoman"/>
      <w:lvlText w:val="%6."/>
      <w:lvlJc w:val="right"/>
      <w:pPr>
        <w:ind w:left="4283" w:hanging="180"/>
      </w:pPr>
    </w:lvl>
    <w:lvl w:ilvl="6" w:tplc="0416000F" w:tentative="1">
      <w:start w:val="1"/>
      <w:numFmt w:val="decimal"/>
      <w:lvlText w:val="%7."/>
      <w:lvlJc w:val="left"/>
      <w:pPr>
        <w:ind w:left="5003" w:hanging="360"/>
      </w:pPr>
    </w:lvl>
    <w:lvl w:ilvl="7" w:tplc="04160019" w:tentative="1">
      <w:start w:val="1"/>
      <w:numFmt w:val="lowerLetter"/>
      <w:lvlText w:val="%8."/>
      <w:lvlJc w:val="left"/>
      <w:pPr>
        <w:ind w:left="5723" w:hanging="360"/>
      </w:pPr>
    </w:lvl>
    <w:lvl w:ilvl="8" w:tplc="0416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" w15:restartNumberingAfterBreak="0">
    <w:nsid w:val="5BD013FB"/>
    <w:multiLevelType w:val="hybridMultilevel"/>
    <w:tmpl w:val="95B82FAC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CE"/>
    <w:rsid w:val="00017417"/>
    <w:rsid w:val="000203E2"/>
    <w:rsid w:val="0005520F"/>
    <w:rsid w:val="00082404"/>
    <w:rsid w:val="00086E8B"/>
    <w:rsid w:val="000B6160"/>
    <w:rsid w:val="000D32D0"/>
    <w:rsid w:val="000F6AB0"/>
    <w:rsid w:val="00105A1A"/>
    <w:rsid w:val="0011527F"/>
    <w:rsid w:val="001152E0"/>
    <w:rsid w:val="00177044"/>
    <w:rsid w:val="001B3CB4"/>
    <w:rsid w:val="001D4F12"/>
    <w:rsid w:val="001F6073"/>
    <w:rsid w:val="00205309"/>
    <w:rsid w:val="002458EF"/>
    <w:rsid w:val="00264A84"/>
    <w:rsid w:val="002915D7"/>
    <w:rsid w:val="002B1900"/>
    <w:rsid w:val="002D002E"/>
    <w:rsid w:val="002E1C3E"/>
    <w:rsid w:val="002F14D1"/>
    <w:rsid w:val="00322F79"/>
    <w:rsid w:val="003305C8"/>
    <w:rsid w:val="0034740C"/>
    <w:rsid w:val="00350ADD"/>
    <w:rsid w:val="00371AB1"/>
    <w:rsid w:val="00387366"/>
    <w:rsid w:val="00387C22"/>
    <w:rsid w:val="00392BCA"/>
    <w:rsid w:val="003A4E58"/>
    <w:rsid w:val="003C3EEA"/>
    <w:rsid w:val="00404FFB"/>
    <w:rsid w:val="00424CB8"/>
    <w:rsid w:val="00437363"/>
    <w:rsid w:val="004612BE"/>
    <w:rsid w:val="004718AB"/>
    <w:rsid w:val="0049324D"/>
    <w:rsid w:val="004A07DB"/>
    <w:rsid w:val="004A2E1B"/>
    <w:rsid w:val="004B189F"/>
    <w:rsid w:val="004C1391"/>
    <w:rsid w:val="004C6C26"/>
    <w:rsid w:val="004F2F60"/>
    <w:rsid w:val="00545AEE"/>
    <w:rsid w:val="0056266C"/>
    <w:rsid w:val="00576B61"/>
    <w:rsid w:val="00584063"/>
    <w:rsid w:val="00584A5F"/>
    <w:rsid w:val="00585CAC"/>
    <w:rsid w:val="00591506"/>
    <w:rsid w:val="005A11E6"/>
    <w:rsid w:val="005C6472"/>
    <w:rsid w:val="00626A50"/>
    <w:rsid w:val="0065159E"/>
    <w:rsid w:val="0066092A"/>
    <w:rsid w:val="00672093"/>
    <w:rsid w:val="00681A6C"/>
    <w:rsid w:val="00686DD8"/>
    <w:rsid w:val="006C343D"/>
    <w:rsid w:val="006C47F5"/>
    <w:rsid w:val="006D36D8"/>
    <w:rsid w:val="0071226C"/>
    <w:rsid w:val="00716B69"/>
    <w:rsid w:val="0072704F"/>
    <w:rsid w:val="007526DA"/>
    <w:rsid w:val="00756140"/>
    <w:rsid w:val="00775B91"/>
    <w:rsid w:val="00782044"/>
    <w:rsid w:val="00783E63"/>
    <w:rsid w:val="007B3FE2"/>
    <w:rsid w:val="007C70F1"/>
    <w:rsid w:val="007D4AC6"/>
    <w:rsid w:val="00816FD3"/>
    <w:rsid w:val="008733D5"/>
    <w:rsid w:val="008808CA"/>
    <w:rsid w:val="008A1A08"/>
    <w:rsid w:val="008F39FF"/>
    <w:rsid w:val="008F47DF"/>
    <w:rsid w:val="00905304"/>
    <w:rsid w:val="009178BD"/>
    <w:rsid w:val="00924886"/>
    <w:rsid w:val="0093615D"/>
    <w:rsid w:val="00955804"/>
    <w:rsid w:val="00962F55"/>
    <w:rsid w:val="009777A8"/>
    <w:rsid w:val="009A79CE"/>
    <w:rsid w:val="009D2FEA"/>
    <w:rsid w:val="009E619A"/>
    <w:rsid w:val="009E62EB"/>
    <w:rsid w:val="009E6FDC"/>
    <w:rsid w:val="009F7DEE"/>
    <w:rsid w:val="00A061B4"/>
    <w:rsid w:val="00A11961"/>
    <w:rsid w:val="00A11CBF"/>
    <w:rsid w:val="00A22B59"/>
    <w:rsid w:val="00A322C3"/>
    <w:rsid w:val="00A46B62"/>
    <w:rsid w:val="00A565E2"/>
    <w:rsid w:val="00A96BD3"/>
    <w:rsid w:val="00AA121D"/>
    <w:rsid w:val="00AD117E"/>
    <w:rsid w:val="00B1207F"/>
    <w:rsid w:val="00B17BA2"/>
    <w:rsid w:val="00B23044"/>
    <w:rsid w:val="00B31256"/>
    <w:rsid w:val="00B66E82"/>
    <w:rsid w:val="00B719E6"/>
    <w:rsid w:val="00BA3B11"/>
    <w:rsid w:val="00BC362F"/>
    <w:rsid w:val="00BE1BB7"/>
    <w:rsid w:val="00BF1D63"/>
    <w:rsid w:val="00C003CD"/>
    <w:rsid w:val="00C26016"/>
    <w:rsid w:val="00C30336"/>
    <w:rsid w:val="00C67572"/>
    <w:rsid w:val="00C71874"/>
    <w:rsid w:val="00CA2BB1"/>
    <w:rsid w:val="00CC7348"/>
    <w:rsid w:val="00CD214A"/>
    <w:rsid w:val="00CD331A"/>
    <w:rsid w:val="00CF6949"/>
    <w:rsid w:val="00CF7D4F"/>
    <w:rsid w:val="00D06BAF"/>
    <w:rsid w:val="00D203F4"/>
    <w:rsid w:val="00D4297F"/>
    <w:rsid w:val="00D67664"/>
    <w:rsid w:val="00D74C6D"/>
    <w:rsid w:val="00DF5053"/>
    <w:rsid w:val="00DF5FDD"/>
    <w:rsid w:val="00E4239C"/>
    <w:rsid w:val="00E63308"/>
    <w:rsid w:val="00E922EC"/>
    <w:rsid w:val="00E96AE4"/>
    <w:rsid w:val="00EC0A87"/>
    <w:rsid w:val="00EE5195"/>
    <w:rsid w:val="00F018DF"/>
    <w:rsid w:val="00F05C0A"/>
    <w:rsid w:val="00F35B7C"/>
    <w:rsid w:val="00F83F27"/>
    <w:rsid w:val="00F94667"/>
    <w:rsid w:val="00F96EF5"/>
    <w:rsid w:val="00FA4526"/>
    <w:rsid w:val="00FB1BBD"/>
    <w:rsid w:val="00FC59FA"/>
    <w:rsid w:val="00FD17F8"/>
    <w:rsid w:val="00FE7CD0"/>
    <w:rsid w:val="00FF0A7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9163D"/>
  <w15:chartTrackingRefBased/>
  <w15:docId w15:val="{3E708617-0B7B-4999-818A-A5F069F4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11CBF"/>
    <w:pPr>
      <w:widowControl w:val="0"/>
      <w:autoSpaceDE w:val="0"/>
      <w:autoSpaceDN w:val="0"/>
      <w:spacing w:before="1"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6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9CE"/>
  </w:style>
  <w:style w:type="paragraph" w:styleId="Rodap">
    <w:name w:val="footer"/>
    <w:basedOn w:val="Normal"/>
    <w:link w:val="RodapChar"/>
    <w:uiPriority w:val="99"/>
    <w:unhideWhenUsed/>
    <w:rsid w:val="009A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9CE"/>
  </w:style>
  <w:style w:type="paragraph" w:styleId="NormalWeb">
    <w:name w:val="Normal (Web)"/>
    <w:basedOn w:val="Normal"/>
    <w:uiPriority w:val="99"/>
    <w:unhideWhenUsed/>
    <w:rsid w:val="009A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1D63"/>
    <w:pPr>
      <w:widowControl w:val="0"/>
      <w:spacing w:after="0" w:line="240" w:lineRule="auto"/>
      <w:ind w:left="720"/>
      <w:contextualSpacing/>
    </w:pPr>
    <w:rPr>
      <w:rFonts w:ascii="Garamond" w:eastAsia="Garamond" w:hAnsi="Garamond" w:cs="Garamond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3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736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736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8736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736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11CBF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11C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1CBF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Default">
    <w:name w:val="Default"/>
    <w:rsid w:val="00A11CBF"/>
    <w:pPr>
      <w:autoSpaceDE w:val="0"/>
      <w:autoSpaceDN w:val="0"/>
      <w:adjustRightInd w:val="0"/>
      <w:spacing w:after="0" w:line="240" w:lineRule="auto"/>
    </w:pPr>
    <w:rPr>
      <w:rFonts w:ascii="Garamond" w:eastAsia="Arial" w:hAnsi="Garamond" w:cs="Garamond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6330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5614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61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.globo.com/economia-e-financas/guedes-elogia-trabalho-do-tcu-como-padrao-ser-seguido-por-tribunais-de-contas-dos-estados-23449314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alto.gov.br/ccivil_03/constituicao/Constituicao.htm" TargetMode="External"/><Relationship Id="rId7" Type="http://schemas.openxmlformats.org/officeDocument/2006/relationships/hyperlink" Target="https://portal.tcu.gov.br/imprensa/noticias/parecer-previo-do-tcu-propoe-aprovacao-com-ressalvas-das-contas-do-presidente-da-republica-8A81881E79E7B55B017A5ED46C616BC0.htm" TargetMode="External"/><Relationship Id="rId2" Type="http://schemas.openxmlformats.org/officeDocument/2006/relationships/hyperlink" Target="http://www.planalto.gov.br/ccivil_03/constituicao/Constituicao.htm" TargetMode="External"/><Relationship Id="rId1" Type="http://schemas.openxmlformats.org/officeDocument/2006/relationships/hyperlink" Target="http://www.planalto.gov.br/ccivil_03/constituicao/Constituicao.htm" TargetMode="Externa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CC4C3350E0A64B93AC1B8821BAE547" ma:contentTypeVersion="16" ma:contentTypeDescription="Crie um novo documento." ma:contentTypeScope="" ma:versionID="3a56ec037999c5a40831fefc0e594808">
  <xsd:schema xmlns:xsd="http://www.w3.org/2001/XMLSchema" xmlns:xs="http://www.w3.org/2001/XMLSchema" xmlns:p="http://schemas.microsoft.com/office/2006/metadata/properties" xmlns:ns1="http://schemas.microsoft.com/sharepoint/v3" xmlns:ns3="43c867b4-fc12-4838-b605-b258d2592217" xmlns:ns4="02c7d208-d9e0-490e-9322-9ce800b93a60" targetNamespace="http://schemas.microsoft.com/office/2006/metadata/properties" ma:root="true" ma:fieldsID="aa81def998646d2f5105a86c2bc1bdb3" ns1:_="" ns3:_="" ns4:_="">
    <xsd:import namespace="http://schemas.microsoft.com/sharepoint/v3"/>
    <xsd:import namespace="43c867b4-fc12-4838-b605-b258d2592217"/>
    <xsd:import namespace="02c7d208-d9e0-490e-9322-9ce800b93a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Propriedades da Política de Conformidade Unificada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ção de Interface do Usuário da Política de Conformidade Unificada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67b4-fc12-4838-b605-b258d259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208-d9e0-490e-9322-9ce800b93a6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889B-5E51-41F0-824A-67F5C3AA7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c867b4-fc12-4838-b605-b258d2592217"/>
    <ds:schemaRef ds:uri="02c7d208-d9e0-490e-9322-9ce800b93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E7FC3-57A2-46EE-8167-72C55630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2A374-B7E2-488C-AFD2-FF6BFF8C8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852CFD-23D5-47AA-8DA6-047AD35A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2517</Words>
  <Characters>13595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Dantas</dc:creator>
  <cp:keywords/>
  <dc:description/>
  <cp:lastModifiedBy>Lucieni Pereira da Silva</cp:lastModifiedBy>
  <cp:revision>2</cp:revision>
  <cp:lastPrinted>2022-03-25T03:35:00Z</cp:lastPrinted>
  <dcterms:created xsi:type="dcterms:W3CDTF">2022-06-23T19:56:00Z</dcterms:created>
  <dcterms:modified xsi:type="dcterms:W3CDTF">2022-06-23T19:56:00Z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0x01010085CC4C3350E0A64B93AC1B8821BAE547</vt:lpwstr>
  </property>
</Properties>
</file>